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401" w:firstLineChars="1000"/>
        <w:rPr>
          <w:b/>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6-A</w:t>
      </w:r>
      <w:r>
        <w:rPr>
          <w:rFonts w:hint="eastAsia" w:ascii="Arial" w:hAnsi="Arial" w:cs="Arial"/>
          <w:b/>
          <w:bCs/>
          <w:sz w:val="24"/>
          <w:szCs w:val="24"/>
          <w:lang w:val="en-US" w:eastAsia="zh-CN"/>
        </w:rPr>
        <w:t>c</w:t>
      </w:r>
      <w:r>
        <w:rPr>
          <w:rFonts w:ascii="Arial" w:hAnsi="Arial" w:cs="Arial"/>
          <w:b/>
          <w:bCs/>
          <w:sz w:val="24"/>
          <w:szCs w:val="24"/>
        </w:rPr>
        <w:t>etylmorphine (MAM)</w:t>
      </w:r>
      <w:r>
        <w:rPr>
          <w:rFonts w:hint="eastAsia" w:ascii="Arial" w:hAnsi="Arial" w:cs="Arial"/>
          <w:b/>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b/>
          <w:sz w:val="24"/>
          <w:szCs w:val="24"/>
        </w:rPr>
        <w:t xml:space="preserve"> </w:t>
      </w:r>
      <w:r>
        <w:rPr>
          <w:rFonts w:ascii="Arial" w:hAnsi="Arial" w:eastAsia="Arial" w:cs="Arial"/>
          <w:b/>
          <w:bCs/>
          <w:sz w:val="24"/>
          <w:szCs w:val="24"/>
        </w:rPr>
        <w:t>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 6-</w:t>
      </w:r>
      <w:r>
        <w:rPr>
          <w:rFonts w:hint="eastAsia" w:ascii="Arial" w:hAnsi="Arial" w:eastAsia="宋体" w:cs="Arial"/>
          <w:i/>
          <w:iCs/>
          <w:sz w:val="15"/>
          <w:szCs w:val="15"/>
          <w:lang w:eastAsia="zh-CN"/>
        </w:rPr>
        <w:t>Acety</w:t>
      </w:r>
      <w:r>
        <w:rPr>
          <w:rFonts w:ascii="Arial" w:hAnsi="Arial" w:eastAsia="Arial" w:cs="Arial"/>
          <w:i/>
          <w:iCs/>
          <w:sz w:val="15"/>
          <w:szCs w:val="15"/>
        </w:rPr>
        <w:t>lmorphine (MAM).</w:t>
      </w:r>
    </w:p>
    <w:p>
      <w:pPr>
        <w:spacing w:line="222" w:lineRule="auto"/>
        <w:ind w:left="11" w:right="380"/>
        <w:jc w:val="both"/>
        <w:rPr>
          <w:sz w:val="20"/>
          <w:szCs w:val="20"/>
        </w:rPr>
      </w:pPr>
      <w:r>
        <w:rPr>
          <w:rFonts w:ascii="Arial" w:hAnsi="Arial" w:eastAsia="Arial" w:cs="Arial"/>
          <w:i/>
          <w:iCs/>
          <w:sz w:val="15"/>
          <w:szCs w:val="15"/>
        </w:rPr>
        <w:t>Rapid</w:t>
      </w:r>
      <w:r>
        <w:t xml:space="preserve"> </w:t>
      </w:r>
      <w:r>
        <w:rPr>
          <w:rFonts w:ascii="Arial" w:hAnsi="Arial" w:eastAsia="Arial" w:cs="Arial"/>
          <w:i/>
          <w:iCs/>
          <w:sz w:val="15"/>
          <w:szCs w:val="15"/>
        </w:rPr>
        <w:t>6-</w:t>
      </w:r>
      <w:r>
        <w:rPr>
          <w:rFonts w:hint="eastAsia" w:ascii="Arial" w:hAnsi="Arial" w:eastAsia="宋体" w:cs="Arial"/>
          <w:i/>
          <w:iCs/>
          <w:sz w:val="15"/>
          <w:szCs w:val="15"/>
          <w:lang w:eastAsia="zh-CN"/>
        </w:rPr>
        <w:t>Acety</w:t>
      </w:r>
      <w:r>
        <w:rPr>
          <w:rFonts w:ascii="Arial" w:hAnsi="Arial" w:eastAsia="Arial" w:cs="Arial"/>
          <w:i/>
          <w:iCs/>
          <w:sz w:val="15"/>
          <w:szCs w:val="15"/>
        </w:rPr>
        <w:t xml:space="preserve">lmorphine (MAM)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6-</w:t>
      </w:r>
      <w:r>
        <w:rPr>
          <w:rFonts w:hint="eastAsia" w:ascii="Arial" w:hAnsi="Arial" w:cs="Arial"/>
          <w:i/>
          <w:iCs/>
          <w:sz w:val="15"/>
          <w:szCs w:val="15"/>
          <w:lang w:eastAsia="zh-CN"/>
        </w:rPr>
        <w:t>Acety</w:t>
      </w:r>
      <w:r>
        <w:rPr>
          <w:rFonts w:ascii="Arial" w:hAnsi="Arial" w:cs="Arial"/>
          <w:i/>
          <w:iCs/>
          <w:sz w:val="15"/>
          <w:szCs w:val="15"/>
        </w:rPr>
        <w:t>lmorphine (MAM)</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 xml:space="preserve">10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Rapid 6-</w:t>
      </w:r>
      <w:r>
        <w:rPr>
          <w:rFonts w:hint="eastAsia" w:ascii="Arial" w:hAnsi="Arial" w:eastAsia="宋体" w:cs="Arial"/>
          <w:i/>
          <w:iCs/>
          <w:sz w:val="15"/>
          <w:szCs w:val="15"/>
          <w:lang w:eastAsia="zh-CN"/>
        </w:rPr>
        <w:t>Acety</w:t>
      </w:r>
      <w:r>
        <w:rPr>
          <w:rFonts w:ascii="Arial" w:hAnsi="Arial" w:eastAsia="Arial" w:cs="Arial"/>
          <w:i/>
          <w:iCs/>
          <w:sz w:val="15"/>
          <w:szCs w:val="15"/>
        </w:rPr>
        <w:t xml:space="preserve">lmorphine (MAM) 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eastAsia="Arial" w:cs="Arial"/>
          <w:i/>
          <w:iCs/>
          <w:sz w:val="15"/>
          <w:szCs w:val="15"/>
        </w:rPr>
        <w:t>6-</w:t>
      </w:r>
      <w:r>
        <w:rPr>
          <w:rFonts w:hint="eastAsia" w:ascii="Arial" w:hAnsi="Arial" w:eastAsia="宋体" w:cs="Arial"/>
          <w:i/>
          <w:iCs/>
          <w:sz w:val="15"/>
          <w:szCs w:val="15"/>
          <w:lang w:eastAsia="zh-CN"/>
        </w:rPr>
        <w:t>Acety</w:t>
      </w:r>
      <w:r>
        <w:rPr>
          <w:rFonts w:ascii="Arial" w:hAnsi="Arial" w:eastAsia="Arial" w:cs="Arial"/>
          <w:i/>
          <w:iCs/>
          <w:sz w:val="15"/>
          <w:szCs w:val="15"/>
        </w:rPr>
        <w:t>lmorphine (MAM)</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w:t>
      </w:r>
      <w:r>
        <w:rPr>
          <w:rFonts w:ascii="Arial" w:hAnsi="Arial" w:eastAsia="Arial" w:cs="Arial"/>
          <w:i/>
          <w:iCs/>
          <w:sz w:val="15"/>
          <w:szCs w:val="15"/>
        </w:rPr>
        <w:t>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56" w:lineRule="exact"/>
        <w:rPr>
          <w:sz w:val="24"/>
          <w:szCs w:val="24"/>
        </w:rPr>
      </w:pPr>
    </w:p>
    <w:p>
      <w:pPr>
        <w:spacing w:line="149" w:lineRule="exact"/>
        <w:rPr>
          <w:rFonts w:ascii="Arial" w:hAnsi="Arial" w:cs="Arial"/>
          <w:sz w:val="15"/>
          <w:szCs w:val="15"/>
        </w:rPr>
      </w:pPr>
      <w:r>
        <w:rPr>
          <w:rFonts w:ascii="Arial" w:hAnsi="Arial" w:cs="Arial"/>
          <w:sz w:val="15"/>
          <w:szCs w:val="15"/>
        </w:rPr>
        <w:t>6-Monoacetylmorphine (6-MAM) or 6-acetylmorphine (6-AM) is one of three active metabolites of heroin (diacetylmorphine), the others being morphine and the</w:t>
      </w:r>
      <w:r>
        <w:rPr>
          <w:rFonts w:hint="eastAsia" w:ascii="Arial" w:hAnsi="Arial" w:cs="Arial"/>
          <w:sz w:val="15"/>
          <w:szCs w:val="15"/>
        </w:rPr>
        <w:t xml:space="preserve"> </w:t>
      </w:r>
      <w:r>
        <w:rPr>
          <w:rFonts w:ascii="Arial" w:hAnsi="Arial" w:cs="Arial"/>
          <w:sz w:val="15"/>
          <w:szCs w:val="15"/>
        </w:rPr>
        <w:t>much less active 3-monoacetylmorphine (3-MAM). 6-MAM is rapidly created from heroin in the body, and then is either metabolized into morphine or excreted in</w:t>
      </w:r>
      <w:r>
        <w:rPr>
          <w:rFonts w:hint="eastAsia" w:ascii="Arial" w:hAnsi="Arial" w:cs="Arial"/>
          <w:sz w:val="15"/>
          <w:szCs w:val="15"/>
        </w:rPr>
        <w:t xml:space="preserve"> </w:t>
      </w:r>
      <w:r>
        <w:rPr>
          <w:rFonts w:ascii="Arial" w:hAnsi="Arial" w:cs="Arial"/>
          <w:sz w:val="15"/>
          <w:szCs w:val="15"/>
        </w:rPr>
        <w:t>the urine. 6-MAM remains in the urine for no more than 24 hours. So a urine specimen must be collected soon after the last heroin use, but the presence of</w:t>
      </w:r>
      <w:r>
        <w:rPr>
          <w:rFonts w:hint="eastAsia" w:ascii="Arial" w:hAnsi="Arial" w:cs="Arial"/>
          <w:sz w:val="15"/>
          <w:szCs w:val="15"/>
        </w:rPr>
        <w:t xml:space="preserve"> </w:t>
      </w:r>
      <w:r>
        <w:rPr>
          <w:rFonts w:ascii="Arial" w:hAnsi="Arial" w:cs="Arial"/>
          <w:sz w:val="15"/>
          <w:szCs w:val="15"/>
        </w:rPr>
        <w:t>6-MAM guarantees that heroin was in fact used as recently as within the last day. 6-MAM is</w:t>
      </w:r>
      <w:r>
        <w:rPr>
          <w:rFonts w:hint="eastAsia" w:ascii="Arial" w:hAnsi="Arial" w:cs="Arial"/>
          <w:sz w:val="15"/>
          <w:szCs w:val="15"/>
        </w:rPr>
        <w:t xml:space="preserve"> </w:t>
      </w:r>
      <w:r>
        <w:rPr>
          <w:rFonts w:ascii="Arial" w:hAnsi="Arial" w:cs="Arial"/>
          <w:sz w:val="15"/>
          <w:szCs w:val="15"/>
        </w:rPr>
        <w:t>naturally found in the brain, but in such small quantities that</w:t>
      </w:r>
      <w:r>
        <w:rPr>
          <w:rFonts w:hint="eastAsia" w:ascii="Arial" w:hAnsi="Arial" w:cs="Arial"/>
          <w:sz w:val="15"/>
          <w:szCs w:val="15"/>
        </w:rPr>
        <w:t xml:space="preserve"> </w:t>
      </w:r>
      <w:r>
        <w:rPr>
          <w:rFonts w:ascii="Arial" w:hAnsi="Arial" w:cs="Arial"/>
          <w:sz w:val="15"/>
          <w:szCs w:val="15"/>
        </w:rPr>
        <w:t>detection of this compound in urine virtually guarantees that heroin has recently been consumed.</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 (MAM)</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 (MAM)</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1134745</wp:posOffset>
            </wp:positionH>
            <wp:positionV relativeFrom="paragraph">
              <wp:posOffset>73025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6-</w:t>
      </w:r>
      <w:r>
        <w:rPr>
          <w:rFonts w:hint="eastAsia" w:ascii="Arial" w:hAnsi="Arial" w:cs="Arial"/>
          <w:i/>
          <w:iCs/>
          <w:sz w:val="15"/>
          <w:szCs w:val="15"/>
          <w:lang w:eastAsia="zh-CN"/>
        </w:rPr>
        <w:t>Acety</w:t>
      </w:r>
      <w:r>
        <w:rPr>
          <w:rFonts w:ascii="Arial" w:hAnsi="Arial" w:cs="Arial"/>
          <w:i/>
          <w:iCs/>
          <w:sz w:val="15"/>
          <w:szCs w:val="15"/>
        </w:rPr>
        <w:t>lmorphine (MAM)</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The definition of a false negative test is that the initial drug is present but isn’t detected by Rapid</w:t>
      </w:r>
      <w:r>
        <w:rPr>
          <w:rFonts w:hint="eastAsia" w:ascii="Arial" w:hAnsi="Arial" w:cs="Arial"/>
          <w:sz w:val="15"/>
          <w:szCs w:val="15"/>
        </w:rPr>
        <w:t xml:space="preserve"> </w:t>
      </w:r>
      <w:r>
        <w:rPr>
          <w:rFonts w:ascii="Arial" w:hAnsi="Arial" w:eastAsia="Arial" w:cs="Arial"/>
          <w:i/>
          <w:sz w:val="15"/>
          <w:szCs w:val="15"/>
        </w:rPr>
        <w:t>6-</w:t>
      </w:r>
      <w:r>
        <w:rPr>
          <w:rFonts w:hint="eastAsia" w:ascii="Arial" w:hAnsi="Arial" w:eastAsia="宋体" w:cs="Arial"/>
          <w:i/>
          <w:sz w:val="15"/>
          <w:szCs w:val="15"/>
          <w:lang w:eastAsia="zh-CN"/>
        </w:rPr>
        <w:t>Acety</w:t>
      </w:r>
      <w:r>
        <w:rPr>
          <w:rFonts w:ascii="Arial" w:hAnsi="Arial" w:eastAsia="Arial" w:cs="Arial"/>
          <w:i/>
          <w:sz w:val="15"/>
          <w:szCs w:val="15"/>
        </w:rPr>
        <w:t>lmorphine (MAM)</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 (MAM)</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4480" w:type="dxa"/>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 (MAM)</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b/>
                <w:sz w:val="20"/>
                <w:szCs w:val="20"/>
              </w:rPr>
            </w:pP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w:t>
            </w:r>
            <w:r>
              <w:rPr>
                <w:rFonts w:ascii="Arial" w:hAnsi="Arial" w:eastAsia="Arial" w:cs="Arial"/>
                <w:sz w:val="14"/>
                <w:szCs w:val="14"/>
              </w:rPr>
              <w:t>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MAM</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4560" w:type="dxa"/>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4580" w:type="dxa"/>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MAM</w:t>
      </w:r>
      <w:r>
        <w:rPr>
          <w:rFonts w:ascii="Arial" w:hAnsi="Arial" w:eastAsia="Arial" w:cs="Arial"/>
          <w:sz w:val="15"/>
          <w:szCs w:val="15"/>
        </w:rPr>
        <w:t xml:space="preserve"> at 50% below and 50% above cutoff level. Each sample was tested by Rapid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MAM</w:t>
      </w:r>
      <w:r>
        <w:rPr>
          <w:rFonts w:ascii="Arial" w:hAnsi="Arial" w:eastAsia="Arial" w:cs="Arial"/>
          <w:sz w:val="15"/>
          <w:szCs w:val="15"/>
        </w:rPr>
        <w:t xml:space="preserve"> at 50% below and 50% above cutoff levels. Each sample was tested by Rapid </w:t>
      </w:r>
      <w:r>
        <w:rPr>
          <w:rFonts w:ascii="Arial" w:hAnsi="Arial" w:cs="Arial"/>
          <w:sz w:val="15"/>
          <w:szCs w:val="15"/>
        </w:rPr>
        <w:t>6-</w:t>
      </w:r>
      <w:r>
        <w:rPr>
          <w:rFonts w:hint="eastAsia" w:ascii="Arial" w:hAnsi="Arial" w:cs="Arial"/>
          <w:sz w:val="15"/>
          <w:szCs w:val="15"/>
          <w:lang w:eastAsia="zh-CN"/>
        </w:rPr>
        <w:t>Acety</w:t>
      </w:r>
      <w:r>
        <w:rPr>
          <w:rFonts w:ascii="Arial" w:hAnsi="Arial" w:cs="Arial"/>
          <w:sz w:val="15"/>
          <w:szCs w:val="15"/>
        </w:rPr>
        <w:t>lmorphine</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147" w:lineRule="exact"/>
        <w:rPr>
          <w:rFonts w:hint="eastAsia" w:eastAsiaTheme="minorEastAsia"/>
          <w:sz w:val="20"/>
          <w:szCs w:val="20"/>
          <w:lang w:eastAsia="zh-CN"/>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4370" w:type="dxa"/>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sz w:val="20"/>
          <w:szCs w:val="20"/>
          <w:lang w:val="en-US"/>
        </w:rPr>
      </w:pPr>
      <w:r>
        <w:rPr>
          <w:rFonts w:ascii="Arial" w:hAnsi="Arial" w:eastAsia="Arial" w:cs="Arial"/>
          <w:b/>
          <w:bCs/>
          <w:sz w:val="15"/>
          <w:szCs w:val="15"/>
        </w:rPr>
        <w:t xml:space="preserve">P/N: </w:t>
      </w:r>
      <w:r>
        <w:rPr>
          <w:rFonts w:hint="eastAsia" w:ascii="Arial" w:hAnsi="Arial" w:cs="Arial"/>
          <w:b/>
          <w:bCs/>
          <w:sz w:val="15"/>
          <w:szCs w:val="15"/>
          <w:lang w:val="en-US" w:eastAsia="zh-CN"/>
        </w:rPr>
        <w:t>230810</w:t>
      </w:r>
      <w:bookmarkStart w:id="1" w:name="_GoBack"/>
      <w:bookmarkEnd w:id="1"/>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26AB1"/>
    <w:rsid w:val="000434E8"/>
    <w:rsid w:val="00070832"/>
    <w:rsid w:val="000B567A"/>
    <w:rsid w:val="000E5050"/>
    <w:rsid w:val="00102CD9"/>
    <w:rsid w:val="00183FB6"/>
    <w:rsid w:val="00184975"/>
    <w:rsid w:val="001962C5"/>
    <w:rsid w:val="00197F9B"/>
    <w:rsid w:val="001A64D3"/>
    <w:rsid w:val="001C35D1"/>
    <w:rsid w:val="001E495E"/>
    <w:rsid w:val="002B72F0"/>
    <w:rsid w:val="002E2C0F"/>
    <w:rsid w:val="0037520C"/>
    <w:rsid w:val="003A4871"/>
    <w:rsid w:val="003B6791"/>
    <w:rsid w:val="00446EEF"/>
    <w:rsid w:val="004775F8"/>
    <w:rsid w:val="0054193A"/>
    <w:rsid w:val="005D2D57"/>
    <w:rsid w:val="00626802"/>
    <w:rsid w:val="00631E2C"/>
    <w:rsid w:val="00677F60"/>
    <w:rsid w:val="00703AA8"/>
    <w:rsid w:val="00756841"/>
    <w:rsid w:val="00775F6A"/>
    <w:rsid w:val="007927B1"/>
    <w:rsid w:val="00863CAC"/>
    <w:rsid w:val="00885C6C"/>
    <w:rsid w:val="008A23EA"/>
    <w:rsid w:val="008F0AF7"/>
    <w:rsid w:val="008F2C83"/>
    <w:rsid w:val="0093017F"/>
    <w:rsid w:val="009550F8"/>
    <w:rsid w:val="00962AC9"/>
    <w:rsid w:val="00AA78F7"/>
    <w:rsid w:val="00AD15AA"/>
    <w:rsid w:val="00B16582"/>
    <w:rsid w:val="00BB7F08"/>
    <w:rsid w:val="00C0780F"/>
    <w:rsid w:val="00C1640C"/>
    <w:rsid w:val="00C4242C"/>
    <w:rsid w:val="00C62561"/>
    <w:rsid w:val="00C634C1"/>
    <w:rsid w:val="00C71891"/>
    <w:rsid w:val="00C8391E"/>
    <w:rsid w:val="00C94807"/>
    <w:rsid w:val="00CC67C6"/>
    <w:rsid w:val="00CC7479"/>
    <w:rsid w:val="00D84F71"/>
    <w:rsid w:val="00D97E7A"/>
    <w:rsid w:val="00DA1334"/>
    <w:rsid w:val="00DA459B"/>
    <w:rsid w:val="00DB7797"/>
    <w:rsid w:val="00DB7A70"/>
    <w:rsid w:val="00DE3763"/>
    <w:rsid w:val="00DF0CD1"/>
    <w:rsid w:val="00DF65A6"/>
    <w:rsid w:val="00E00F6F"/>
    <w:rsid w:val="00E44DE0"/>
    <w:rsid w:val="00E66DE3"/>
    <w:rsid w:val="00ED2412"/>
    <w:rsid w:val="00F60394"/>
    <w:rsid w:val="00F62FAF"/>
    <w:rsid w:val="00F673F3"/>
    <w:rsid w:val="00FA770A"/>
    <w:rsid w:val="00FC3D0A"/>
    <w:rsid w:val="00FF7170"/>
    <w:rsid w:val="14867583"/>
    <w:rsid w:val="25D1641A"/>
    <w:rsid w:val="2DEF0ADB"/>
    <w:rsid w:val="30686F2F"/>
    <w:rsid w:val="527E2CC9"/>
    <w:rsid w:val="5AEF1A59"/>
    <w:rsid w:val="6A233726"/>
    <w:rsid w:val="6BAB3BC5"/>
    <w:rsid w:val="6C78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1857</Words>
  <Characters>10555</Characters>
  <Lines>90</Lines>
  <Paragraphs>25</Paragraphs>
  <TotalTime>0</TotalTime>
  <ScaleCrop>false</ScaleCrop>
  <LinksUpToDate>false</LinksUpToDate>
  <CharactersWithSpaces>12302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2020-10-11T01:49:00Z</cp:lastPrinted>
  <dcterms:modified xsi:type="dcterms:W3CDTF">2023-08-17T01:48:32Z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14A8A6E76C55471785F91C33B65A12E3</vt:lpwstr>
  </property>
</Properties>
</file>