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2F9DF31" w14:textId="77777777" w:rsidR="00CF06B7" w:rsidRDefault="00D84484">
      <w:pPr>
        <w:rPr>
          <w:rFonts w:ascii="Franklin Gothic Medium" w:eastAsia="Microsoft YaHei" w:hAnsi="Franklin Gothic Medium" w:cs="Tahoma"/>
          <w:sz w:val="16"/>
          <w:szCs w:val="13"/>
        </w:rPr>
      </w:pPr>
      <w:r>
        <w:rPr>
          <w:rFonts w:ascii="Franklin Gothic Medium" w:eastAsia="Microsoft YaHei" w:hAnsi="Franklin Gothic Medium" w:cs="Tahoma"/>
          <w:noProof/>
          <w:sz w:val="16"/>
          <w:szCs w:val="13"/>
        </w:rPr>
        <mc:AlternateContent>
          <mc:Choice Requires="wps">
            <w:drawing>
              <wp:anchor distT="0" distB="0" distL="114300" distR="114300" simplePos="0" relativeHeight="251655168" behindDoc="0" locked="0" layoutInCell="1" allowOverlap="1" wp14:anchorId="6CF2DB1D" wp14:editId="20F288BD">
                <wp:simplePos x="0" y="0"/>
                <wp:positionH relativeFrom="column">
                  <wp:posOffset>927670</wp:posOffset>
                </wp:positionH>
                <wp:positionV relativeFrom="paragraph">
                  <wp:posOffset>-76200</wp:posOffset>
                </wp:positionV>
                <wp:extent cx="2692137" cy="401701"/>
                <wp:effectExtent l="0" t="0" r="0" b="0"/>
                <wp:wrapNone/>
                <wp:docPr id="224"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137" cy="401701"/>
                        </a:xfrm>
                        <a:prstGeom prst="rect">
                          <a:avLst/>
                        </a:prstGeom>
                        <a:noFill/>
                        <a:ln>
                          <a:noFill/>
                        </a:ln>
                        <a:effectLst/>
                      </wps:spPr>
                      <wps:txbx>
                        <w:txbxContent>
                          <w:p w14:paraId="11EA3641" w14:textId="2836833E" w:rsidR="0094297D" w:rsidRDefault="0094297D" w:rsidP="00FC3A4D">
                            <w:pPr>
                              <w:spacing w:line="240" w:lineRule="exact"/>
                              <w:ind w:right="539"/>
                              <w:jc w:val="right"/>
                              <w:rPr>
                                <w:rFonts w:ascii="Times New Roman"/>
                                <w:b/>
                                <w:sz w:val="15"/>
                                <w:szCs w:val="16"/>
                              </w:rPr>
                            </w:pPr>
                            <w:r>
                              <w:rPr>
                                <w:rFonts w:ascii="Times New Roman" w:eastAsia="SimSun" w:hint="eastAsia"/>
                                <w:b/>
                                <w:sz w:val="15"/>
                                <w:szCs w:val="16"/>
                              </w:rPr>
                              <w:t>Assure COVID-19 IgG/IgM</w:t>
                            </w:r>
                            <w:r>
                              <w:rPr>
                                <w:rFonts w:ascii="Times New Roman"/>
                                <w:b/>
                                <w:sz w:val="15"/>
                                <w:szCs w:val="16"/>
                              </w:rPr>
                              <w:t xml:space="preserve"> Rapid Test Device</w:t>
                            </w:r>
                            <w:r>
                              <w:rPr>
                                <w:rFonts w:ascii="Times New Roman" w:hint="eastAsia"/>
                                <w:b/>
                                <w:sz w:val="15"/>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6CF2DB1D" id="_x0000_t202" coordsize="21600,21600" o:spt="202" path="m,l,21600r21600,l21600,xe">
                <v:stroke joinstyle="miter"/>
                <v:path gradientshapeok="t" o:connecttype="rect"/>
              </v:shapetype>
              <v:shape id="文本框 18" o:spid="_x0000_s1026" type="#_x0000_t202" style="position:absolute;left:0;text-align:left;margin-left:73.05pt;margin-top:-6pt;width:212pt;height:31.6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" filled="f" stroked="f">
                <v:textbox>
                  <w:txbxContent>
                    <w:p w14:paraId="11EA3641" w14:textId="2836833E" w:rsidR="0094297D" w:rsidRDefault="0094297D" w:rsidP="00FC3A4D">
                      <w:pPr>
                        <w:spacing w:line="240" w:lineRule="exact"/>
                        <w:ind w:right="539"/>
                        <w:jc w:val="right"/>
                        <w:rPr>
                          <w:rFonts w:ascii="Times New Roman"/>
                          <w:b/>
                          <w:sz w:val="15"/>
                          <w:szCs w:val="16"/>
                        </w:rPr>
                      </w:pPr>
                      <w:r>
                        <w:rPr>
                          <w:rFonts w:ascii="Times New Roman" w:eastAsia="SimSun" w:hint="eastAsia"/>
                          <w:b/>
                          <w:sz w:val="15"/>
                          <w:szCs w:val="16"/>
                        </w:rPr>
                        <w:t>Assure COVID-19 IgG/IgM</w:t>
                      </w:r>
                      <w:r>
                        <w:rPr>
                          <w:rFonts w:ascii="Times New Roman"/>
                          <w:b/>
                          <w:sz w:val="15"/>
                          <w:szCs w:val="16"/>
                        </w:rPr>
                        <w:t xml:space="preserve"> Rapid Test Device</w:t>
                      </w:r>
                      <w:r>
                        <w:rPr>
                          <w:rFonts w:ascii="Times New Roman" w:hint="eastAsia"/>
                          <w:b/>
                          <w:sz w:val="15"/>
                          <w:szCs w:val="16"/>
                        </w:rPr>
                        <w:t xml:space="preserve"> </w:t>
                      </w:r>
                    </w:p>
                  </w:txbxContent>
                </v:textbox>
              </v:shape>
            </w:pict>
          </mc:Fallback>
        </mc:AlternateContent>
      </w:r>
    </w:p>
    <w:p w14:paraId="76F44D4A" w14:textId="77777777" w:rsidR="00CF06B7" w:rsidRDefault="00CF06B7">
      <w:pPr>
        <w:rPr>
          <w:rFonts w:ascii="Franklin Gothic Medium" w:eastAsia="Microsoft YaHei" w:hAnsi="Franklin Gothic Medium" w:cs="Tahoma"/>
          <w:sz w:val="13"/>
          <w:szCs w:val="13"/>
        </w:rPr>
      </w:pPr>
    </w:p>
    <w:p w14:paraId="1B8AD2F5" w14:textId="77777777" w:rsidR="00F74540" w:rsidRPr="00F74540" w:rsidRDefault="00D84484" w:rsidP="00F74540">
      <w:pPr>
        <w:spacing w:line="140" w:lineRule="exact"/>
        <w:contextualSpacing/>
        <w:jc w:val="left"/>
        <w:rPr>
          <w:rFonts w:ascii="Times New Roman" w:eastAsia="Microsoft YaHei"/>
          <w:i/>
          <w:sz w:val="13"/>
          <w:szCs w:val="13"/>
        </w:rPr>
      </w:pPr>
      <w:r w:rsidRPr="00F74540">
        <w:rPr>
          <w:rFonts w:ascii="Times New Roman" w:eastAsia="Microsoft YaHei"/>
          <w:i/>
          <w:sz w:val="13"/>
          <w:szCs w:val="13"/>
        </w:rPr>
        <w:t>For Emergency Use Authorization Only</w:t>
      </w:r>
    </w:p>
    <w:p w14:paraId="3F85F9C0" w14:textId="3D7DBB64" w:rsidR="002A3375" w:rsidRPr="00F74540" w:rsidRDefault="00FA725F" w:rsidP="00F74540">
      <w:pPr>
        <w:spacing w:line="140" w:lineRule="exact"/>
        <w:contextualSpacing/>
        <w:jc w:val="left"/>
        <w:rPr>
          <w:rFonts w:ascii="Times New Roman" w:eastAsia="Microsoft YaHei"/>
          <w:i/>
          <w:sz w:val="13"/>
          <w:szCs w:val="13"/>
        </w:rPr>
      </w:pPr>
      <w:r w:rsidRPr="00F74540">
        <w:rPr>
          <w:rFonts w:ascii="Times New Roman"/>
          <w:i/>
          <w:color w:val="000000" w:themeColor="text1"/>
          <w:sz w:val="13"/>
          <w:szCs w:val="13"/>
        </w:rPr>
        <w:t>For prescription use only</w:t>
      </w:r>
      <w:r w:rsidR="002A3375" w:rsidRPr="00F74540">
        <w:rPr>
          <w:rFonts w:ascii="Times New Roman" w:eastAsia="Microsoft YaHei"/>
          <w:color w:val="000000" w:themeColor="text1"/>
          <w:sz w:val="13"/>
          <w:szCs w:val="13"/>
        </w:rPr>
        <w:t xml:space="preserve"> </w:t>
      </w:r>
    </w:p>
    <w:p w14:paraId="39490BBE" w14:textId="77777777" w:rsidR="00CF06B7" w:rsidRPr="00F74540" w:rsidRDefault="00D84484" w:rsidP="00F74540">
      <w:pPr>
        <w:spacing w:line="140" w:lineRule="exact"/>
        <w:contextualSpacing/>
        <w:jc w:val="left"/>
        <w:rPr>
          <w:rFonts w:ascii="Times New Roman" w:eastAsia="Microsoft YaHei"/>
          <w:i/>
          <w:sz w:val="13"/>
          <w:szCs w:val="13"/>
        </w:rPr>
      </w:pPr>
      <w:r w:rsidRPr="00F74540">
        <w:rPr>
          <w:rFonts w:ascii="Times New Roman" w:eastAsia="Microsoft YaHei"/>
          <w:i/>
          <w:sz w:val="13"/>
          <w:szCs w:val="13"/>
        </w:rPr>
        <w:t>For in vitro Diagnostic Use Only.</w:t>
      </w:r>
    </w:p>
    <w:p w14:paraId="42545562" w14:textId="77777777" w:rsidR="00CF06B7" w:rsidRPr="00026446" w:rsidRDefault="00D84484">
      <w:pPr>
        <w:pStyle w:val="Heading3"/>
        <w:spacing w:line="140" w:lineRule="exact"/>
        <w:rPr>
          <w:rFonts w:eastAsia="SimSun"/>
          <w:color w:val="auto"/>
          <w:szCs w:val="22"/>
          <w:lang w:val="en-US"/>
        </w:rPr>
      </w:pPr>
      <w:r w:rsidRPr="00026446">
        <w:rPr>
          <w:rFonts w:eastAsia="SimSun"/>
          <w:color w:val="auto"/>
          <w:szCs w:val="22"/>
          <w:lang w:val="en-US"/>
        </w:rPr>
        <w:t>INTENDED USE</w:t>
      </w:r>
    </w:p>
    <w:p w14:paraId="241ED14A" w14:textId="77777777" w:rsidR="00C96A6E" w:rsidRDefault="00C96A6E">
      <w:pPr>
        <w:overflowPunct w:val="0"/>
        <w:autoSpaceDE w:val="0"/>
        <w:autoSpaceDN w:val="0"/>
        <w:adjustRightInd w:val="0"/>
        <w:spacing w:line="140" w:lineRule="exact"/>
        <w:textAlignment w:val="baseline"/>
        <w:rPr>
          <w:rFonts w:ascii="Times New Roman"/>
          <w:sz w:val="12"/>
          <w:szCs w:val="12"/>
        </w:rPr>
      </w:pPr>
    </w:p>
    <w:p w14:paraId="385C76E1" w14:textId="259E0562" w:rsidR="00CF06B7" w:rsidRPr="00614310" w:rsidRDefault="00614310">
      <w:pPr>
        <w:overflowPunct w:val="0"/>
        <w:autoSpaceDE w:val="0"/>
        <w:autoSpaceDN w:val="0"/>
        <w:adjustRightInd w:val="0"/>
        <w:spacing w:line="140" w:lineRule="exact"/>
        <w:textAlignment w:val="baseline"/>
        <w:rPr>
          <w:rFonts w:ascii="Times New Roman"/>
          <w:sz w:val="12"/>
          <w:szCs w:val="12"/>
        </w:rPr>
      </w:pPr>
      <w:commentRangeStart w:id="0"/>
      <w:r>
        <w:rPr>
          <w:rFonts w:ascii="Times New Roman" w:hint="eastAsia"/>
          <w:sz w:val="12"/>
          <w:szCs w:val="12"/>
        </w:rPr>
        <w:t>The Assure COV</w:t>
      </w:r>
      <w:commentRangeEnd w:id="0"/>
      <w:r w:rsidR="00F47B55">
        <w:rPr>
          <w:rStyle w:val="CommentReference"/>
          <w:lang w:val="zh-CN"/>
        </w:rPr>
        <w:commentReference w:id="0"/>
      </w:r>
      <w:r>
        <w:rPr>
          <w:rFonts w:ascii="Times New Roman" w:hint="eastAsia"/>
          <w:sz w:val="12"/>
          <w:szCs w:val="12"/>
        </w:rPr>
        <w:t xml:space="preserve">ID-19 IgG/IgM Rapid Test Device is a rapid lateral flow chromatographic immunoassay intended for the qualitative detection and differentiation of IgM and IgG antibodies to SARS-CoV-2 in human venous whole </w:t>
      </w:r>
      <w:r>
        <w:rPr>
          <w:rFonts w:ascii="Times New Roman"/>
          <w:sz w:val="12"/>
          <w:szCs w:val="12"/>
        </w:rPr>
        <w:t>blood</w:t>
      </w:r>
      <w:r>
        <w:rPr>
          <w:rFonts w:ascii="Times New Roman" w:hint="eastAsia"/>
          <w:sz w:val="12"/>
          <w:szCs w:val="12"/>
        </w:rPr>
        <w:t xml:space="preserve"> (</w:t>
      </w:r>
      <w:r w:rsidR="00701BBD">
        <w:rPr>
          <w:rFonts w:ascii="Times New Roman"/>
          <w:sz w:val="12"/>
          <w:szCs w:val="12"/>
        </w:rPr>
        <w:t>s</w:t>
      </w:r>
      <w:r w:rsidR="00701BBD" w:rsidRPr="00F74540">
        <w:rPr>
          <w:rFonts w:ascii="Times New Roman"/>
          <w:sz w:val="12"/>
          <w:szCs w:val="12"/>
        </w:rPr>
        <w:t>odium</w:t>
      </w:r>
      <w:r w:rsidR="00701BBD">
        <w:rPr>
          <w:rFonts w:ascii="Times New Roman"/>
          <w:sz w:val="12"/>
          <w:szCs w:val="12"/>
        </w:rPr>
        <w:t xml:space="preserve"> </w:t>
      </w:r>
      <w:r>
        <w:rPr>
          <w:rFonts w:ascii="Times New Roman" w:hint="eastAsia"/>
          <w:sz w:val="12"/>
          <w:szCs w:val="12"/>
        </w:rPr>
        <w:t>EDTA), serum or plasma (</w:t>
      </w:r>
      <w:r w:rsidR="00701BBD">
        <w:rPr>
          <w:rFonts w:ascii="Times New Roman"/>
          <w:sz w:val="12"/>
          <w:szCs w:val="12"/>
        </w:rPr>
        <w:t>s</w:t>
      </w:r>
      <w:r w:rsidR="00701BBD" w:rsidRPr="00F74540">
        <w:rPr>
          <w:rFonts w:ascii="Times New Roman"/>
          <w:sz w:val="12"/>
          <w:szCs w:val="12"/>
        </w:rPr>
        <w:t>odium</w:t>
      </w:r>
      <w:r w:rsidR="00701BBD">
        <w:rPr>
          <w:rFonts w:ascii="Times New Roman"/>
          <w:sz w:val="12"/>
          <w:szCs w:val="12"/>
        </w:rPr>
        <w:t xml:space="preserve"> </w:t>
      </w:r>
      <w:r>
        <w:rPr>
          <w:rFonts w:ascii="Times New Roman" w:hint="eastAsia"/>
          <w:sz w:val="12"/>
          <w:szCs w:val="12"/>
        </w:rPr>
        <w:t xml:space="preserve">EDTA). </w:t>
      </w:r>
      <w:r>
        <w:rPr>
          <w:rFonts w:ascii="Times New Roman"/>
          <w:sz w:val="12"/>
          <w:szCs w:val="12"/>
        </w:rPr>
        <w:t>The</w:t>
      </w:r>
      <w:r>
        <w:rPr>
          <w:rFonts w:ascii="Times New Roman" w:hint="eastAsia"/>
          <w:sz w:val="12"/>
          <w:szCs w:val="12"/>
        </w:rPr>
        <w:t xml:space="preserve"> Assure COVID-19 IgG/IgM Rapid Test Device is intended for use as an aid in identifying individuals with an adaptive immune response to SARS-CoV-2, indicating recent or prior infection. At this time, it is unknown for how long antibodies persist following infection and if the presence of antibodies confers protective immunity. The Assure COVID-19 IgG/IgM Rapid Test Device should not be used to diagnose acute SARS-CoV-2 infection. Testing is limited to laboratories certified under the Clinical Laboratory Improvement Amendments</w:t>
      </w:r>
      <w:r w:rsidR="0058677C">
        <w:rPr>
          <w:rFonts w:ascii="Times New Roman" w:hint="eastAsia"/>
          <w:sz w:val="12"/>
          <w:szCs w:val="12"/>
        </w:rPr>
        <w:t xml:space="preserve"> (CLIA) of 1988, 42 U.S.C. </w:t>
      </w:r>
      <w:r w:rsidR="0058677C" w:rsidRPr="00292787">
        <w:rPr>
          <w:rFonts w:ascii="Times New Roman"/>
          <w:sz w:val="12"/>
          <w:szCs w:val="12"/>
        </w:rPr>
        <w:t>§263a</w:t>
      </w:r>
      <w:r w:rsidR="0058677C">
        <w:rPr>
          <w:rFonts w:ascii="Times New Roman" w:hint="eastAsia"/>
          <w:sz w:val="12"/>
          <w:szCs w:val="12"/>
        </w:rPr>
        <w:t xml:space="preserve">, that </w:t>
      </w:r>
      <w:r>
        <w:rPr>
          <w:rFonts w:ascii="Times New Roman" w:hint="eastAsia"/>
          <w:sz w:val="12"/>
          <w:szCs w:val="12"/>
        </w:rPr>
        <w:t xml:space="preserve">meet requirements to perform moderate or high complexity tests.  </w:t>
      </w:r>
    </w:p>
    <w:p w14:paraId="1647ACE0" w14:textId="484E8914" w:rsidR="00402BDA" w:rsidRDefault="00E22DDB">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Results are for the detection of SARS-CoV-2 antibodies. The IgG and IgM antibodies to SARS-CoV-2 are generally detectable in blood several days after initial infection, although the duration of time antibodies </w:t>
      </w:r>
      <w:proofErr w:type="gramStart"/>
      <w:r>
        <w:rPr>
          <w:rFonts w:ascii="Times New Roman" w:hint="eastAsia"/>
          <w:sz w:val="12"/>
          <w:szCs w:val="12"/>
        </w:rPr>
        <w:t>are</w:t>
      </w:r>
      <w:proofErr w:type="gramEnd"/>
      <w:r>
        <w:rPr>
          <w:rFonts w:ascii="Times New Roman" w:hint="eastAsia"/>
          <w:sz w:val="12"/>
          <w:szCs w:val="12"/>
        </w:rPr>
        <w:t xml:space="preserve"> present post-infection is not well characterized. Individuals may have </w:t>
      </w:r>
      <w:r w:rsidR="00402BDA">
        <w:rPr>
          <w:rFonts w:ascii="Times New Roman" w:hint="eastAsia"/>
          <w:sz w:val="12"/>
          <w:szCs w:val="12"/>
        </w:rPr>
        <w:t xml:space="preserve">detectable virus present for several weeks following seroconversion. </w:t>
      </w:r>
    </w:p>
    <w:p w14:paraId="1CDBF6E8" w14:textId="56BFC113" w:rsidR="00614310" w:rsidRDefault="00E22DDB">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Laboratories within the United States and its territories are required to report all positive results to the appropriate public health authorities. </w:t>
      </w:r>
    </w:p>
    <w:p w14:paraId="4786AAD4" w14:textId="1405008E" w:rsidR="00E22DDB" w:rsidRDefault="00E22DDB">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The sensitivity of Assure COVID-19 IgG/IgM Rapid Test Device early after infection is unknown. Negative results do not preclude acute SARS-CoV-2 infection. If acute infection is suspected, direct testing for SARS-CoV-2 is necessary. </w:t>
      </w:r>
    </w:p>
    <w:p w14:paraId="1EF2F84B" w14:textId="4D70C396" w:rsidR="00E22DDB" w:rsidRDefault="00E22DDB">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False positive results for Assure COVID-19 IgG/IgM Rapid Test Device may occur due to cross-reactivity from pre-existing antibodies or other possible causes. Due to the risk of false positive results, confirmation of positive results should be considered using second, different IgG or IgM assay. </w:t>
      </w:r>
    </w:p>
    <w:p w14:paraId="7A0C2602" w14:textId="7D239352" w:rsidR="00E22DDB" w:rsidRDefault="00E22DDB">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The Assure COVID-19 IgG/IgM Rapid Test Device is only for use under the Food and Drug Administration</w:t>
      </w:r>
      <w:r>
        <w:rPr>
          <w:rFonts w:ascii="Times New Roman"/>
          <w:sz w:val="12"/>
          <w:szCs w:val="12"/>
        </w:rPr>
        <w:t>’</w:t>
      </w:r>
      <w:r>
        <w:rPr>
          <w:rFonts w:ascii="Times New Roman" w:hint="eastAsia"/>
          <w:sz w:val="12"/>
          <w:szCs w:val="12"/>
        </w:rPr>
        <w:t xml:space="preserve">s Emergency Use Authorization. </w:t>
      </w:r>
    </w:p>
    <w:p w14:paraId="4DC29977" w14:textId="77777777" w:rsidR="00CF06B7" w:rsidRDefault="00CF06B7">
      <w:pPr>
        <w:overflowPunct w:val="0"/>
        <w:autoSpaceDE w:val="0"/>
        <w:autoSpaceDN w:val="0"/>
        <w:adjustRightInd w:val="0"/>
        <w:spacing w:line="140" w:lineRule="exact"/>
        <w:textAlignment w:val="baseline"/>
        <w:rPr>
          <w:rFonts w:ascii="Times New Roman" w:eastAsia="SimSun"/>
          <w:sz w:val="12"/>
          <w:szCs w:val="12"/>
        </w:rPr>
      </w:pPr>
    </w:p>
    <w:p w14:paraId="3D86535B" w14:textId="77777777" w:rsidR="00CF06B7" w:rsidRPr="00026446" w:rsidRDefault="00D84484">
      <w:pPr>
        <w:pStyle w:val="Heading3"/>
        <w:spacing w:line="140" w:lineRule="exact"/>
        <w:rPr>
          <w:rFonts w:eastAsia="SimSun"/>
          <w:color w:val="auto"/>
          <w:szCs w:val="22"/>
          <w:lang w:val="en-US"/>
        </w:rPr>
      </w:pPr>
      <w:r w:rsidRPr="00026446">
        <w:rPr>
          <w:rFonts w:eastAsia="SimSun" w:hint="eastAsia"/>
          <w:color w:val="auto"/>
          <w:szCs w:val="22"/>
          <w:lang w:val="en-US"/>
        </w:rPr>
        <w:t>SUMMARY AND EXPLANATION</w:t>
      </w:r>
    </w:p>
    <w:p w14:paraId="65389DD4" w14:textId="77777777" w:rsidR="00CF06B7" w:rsidRDefault="00CF06B7">
      <w:pPr>
        <w:overflowPunct w:val="0"/>
        <w:autoSpaceDE w:val="0"/>
        <w:autoSpaceDN w:val="0"/>
        <w:adjustRightInd w:val="0"/>
        <w:spacing w:line="140" w:lineRule="exact"/>
        <w:textAlignment w:val="baseline"/>
        <w:rPr>
          <w:rFonts w:ascii="Times New Roman" w:eastAsia="SimSun"/>
          <w:sz w:val="12"/>
          <w:szCs w:val="12"/>
        </w:rPr>
      </w:pPr>
    </w:p>
    <w:p w14:paraId="480BAAB4" w14:textId="77777777" w:rsidR="00CF06B7" w:rsidRDefault="00D84484">
      <w:pPr>
        <w:overflowPunct w:val="0"/>
        <w:autoSpaceDE w:val="0"/>
        <w:autoSpaceDN w:val="0"/>
        <w:adjustRightInd w:val="0"/>
        <w:spacing w:line="140" w:lineRule="exact"/>
        <w:textAlignment w:val="baseline"/>
        <w:rPr>
          <w:rFonts w:ascii="Times New Roman" w:eastAsia="SimSun"/>
          <w:sz w:val="12"/>
          <w:szCs w:val="12"/>
        </w:rPr>
      </w:pPr>
      <w:r>
        <w:rPr>
          <w:rFonts w:ascii="Times New Roman" w:eastAsia="SimSun"/>
          <w:sz w:val="12"/>
          <w:szCs w:val="12"/>
        </w:rPr>
        <w:t xml:space="preserve">Coronaviruses are a large family of viruses that are common in many different species of animals, including camels, cattle, cats, and bats. </w:t>
      </w:r>
    </w:p>
    <w:p w14:paraId="02A08952" w14:textId="77777777" w:rsidR="00CF06B7" w:rsidRDefault="00D84484">
      <w:pPr>
        <w:overflowPunct w:val="0"/>
        <w:autoSpaceDE w:val="0"/>
        <w:autoSpaceDN w:val="0"/>
        <w:adjustRightInd w:val="0"/>
        <w:spacing w:line="140" w:lineRule="exact"/>
        <w:textAlignment w:val="baseline"/>
        <w:rPr>
          <w:rFonts w:ascii="Times New Roman" w:eastAsia="SimSun"/>
          <w:sz w:val="12"/>
          <w:szCs w:val="12"/>
        </w:rPr>
      </w:pPr>
      <w:r>
        <w:rPr>
          <w:rFonts w:ascii="Times New Roman" w:eastAsia="SimSun"/>
          <w:sz w:val="12"/>
          <w:szCs w:val="12"/>
        </w:rPr>
        <w:t>The two highly pathogenic viruses, SARS-</w:t>
      </w:r>
      <w:proofErr w:type="spellStart"/>
      <w:r>
        <w:rPr>
          <w:rFonts w:ascii="Times New Roman" w:eastAsia="SimSun"/>
          <w:sz w:val="12"/>
          <w:szCs w:val="12"/>
        </w:rPr>
        <w:t>CoV</w:t>
      </w:r>
      <w:proofErr w:type="spellEnd"/>
      <w:r>
        <w:rPr>
          <w:rFonts w:ascii="Times New Roman" w:eastAsia="SimSun"/>
          <w:sz w:val="12"/>
          <w:szCs w:val="12"/>
        </w:rPr>
        <w:t xml:space="preserve"> and MERS-</w:t>
      </w:r>
      <w:proofErr w:type="spellStart"/>
      <w:r>
        <w:rPr>
          <w:rFonts w:ascii="Times New Roman" w:eastAsia="SimSun"/>
          <w:sz w:val="12"/>
          <w:szCs w:val="12"/>
        </w:rPr>
        <w:t>CoV</w:t>
      </w:r>
      <w:proofErr w:type="spellEnd"/>
      <w:r>
        <w:rPr>
          <w:rFonts w:ascii="Times New Roman" w:eastAsia="SimSun"/>
          <w:sz w:val="12"/>
          <w:szCs w:val="12"/>
        </w:rPr>
        <w:t>, cause severe respiratory syndrome in humans, and the other four human coronaviruses (HCoV-NL63, HCoV-229E, HCoV-OC43 and HKU1) induce only mild upper respiratory diseases in immunocompetent hosts, although some of them can cause severe infections in infants, young children and elderly individuals</w:t>
      </w:r>
      <w:r>
        <w:rPr>
          <w:rFonts w:ascii="Times New Roman" w:eastAsia="SimSun" w:hint="eastAsia"/>
          <w:sz w:val="12"/>
          <w:szCs w:val="12"/>
          <w:vertAlign w:val="superscript"/>
        </w:rPr>
        <w:t>1,2,3</w:t>
      </w:r>
      <w:r>
        <w:rPr>
          <w:rFonts w:ascii="Times New Roman" w:eastAsia="SimSun" w:hint="eastAsia"/>
          <w:sz w:val="12"/>
          <w:szCs w:val="12"/>
        </w:rPr>
        <w:t>.</w:t>
      </w:r>
    </w:p>
    <w:p w14:paraId="63C0BEAB" w14:textId="77777777" w:rsidR="00CF06B7" w:rsidRDefault="00D84484">
      <w:pPr>
        <w:overflowPunct w:val="0"/>
        <w:autoSpaceDE w:val="0"/>
        <w:autoSpaceDN w:val="0"/>
        <w:adjustRightInd w:val="0"/>
        <w:spacing w:line="140" w:lineRule="exact"/>
        <w:textAlignment w:val="baseline"/>
        <w:rPr>
          <w:rFonts w:ascii="Times New Roman" w:eastAsia="SimSun"/>
          <w:sz w:val="12"/>
          <w:szCs w:val="12"/>
        </w:rPr>
      </w:pPr>
      <w:r>
        <w:rPr>
          <w:rFonts w:ascii="Times New Roman" w:eastAsia="SimSun" w:hint="eastAsia"/>
          <w:sz w:val="12"/>
          <w:szCs w:val="12"/>
        </w:rPr>
        <w:t xml:space="preserve">COVID-19 is the disease associated with SARS-CoV-2, which was identified in China at the end of 2019. </w:t>
      </w:r>
      <w:r>
        <w:rPr>
          <w:rFonts w:ascii="Times New Roman" w:eastAsia="SimSun"/>
          <w:sz w:val="12"/>
          <w:szCs w:val="12"/>
        </w:rPr>
        <w:t>Coronaviruses cause respiratory and intestinal infections in animals and humans</w:t>
      </w:r>
      <w:r>
        <w:rPr>
          <w:rFonts w:ascii="Times New Roman" w:eastAsia="SimSun"/>
          <w:sz w:val="12"/>
          <w:szCs w:val="12"/>
          <w:vertAlign w:val="superscript"/>
        </w:rPr>
        <w:t>1</w:t>
      </w:r>
      <w:r>
        <w:rPr>
          <w:rFonts w:ascii="Times New Roman" w:eastAsia="SimSun"/>
          <w:sz w:val="12"/>
          <w:szCs w:val="12"/>
        </w:rPr>
        <w:t>.</w:t>
      </w:r>
    </w:p>
    <w:p w14:paraId="745F8295" w14:textId="77777777" w:rsidR="00CF06B7" w:rsidRDefault="00D84484">
      <w:pPr>
        <w:overflowPunct w:val="0"/>
        <w:autoSpaceDE w:val="0"/>
        <w:autoSpaceDN w:val="0"/>
        <w:adjustRightInd w:val="0"/>
        <w:spacing w:line="140" w:lineRule="exact"/>
        <w:textAlignment w:val="baseline"/>
        <w:rPr>
          <w:rFonts w:ascii="Times New Roman" w:eastAsia="SimSun"/>
          <w:sz w:val="12"/>
          <w:szCs w:val="12"/>
        </w:rPr>
      </w:pPr>
      <w:r>
        <w:rPr>
          <w:rFonts w:ascii="Times New Roman" w:eastAsia="SimSun"/>
          <w:sz w:val="12"/>
          <w:szCs w:val="12"/>
        </w:rPr>
        <w:t xml:space="preserve">The virus </w:t>
      </w:r>
      <w:r>
        <w:rPr>
          <w:rFonts w:ascii="Times New Roman" w:eastAsia="SimSun" w:hint="eastAsia"/>
          <w:sz w:val="12"/>
          <w:szCs w:val="12"/>
        </w:rPr>
        <w:t>is</w:t>
      </w:r>
      <w:r>
        <w:rPr>
          <w:rFonts w:ascii="Times New Roman" w:eastAsia="SimSun"/>
          <w:sz w:val="12"/>
          <w:szCs w:val="12"/>
        </w:rPr>
        <w:t xml:space="preserve"> transmitted mainly via respiratory droplets that people sneeze, cough, or exhale.</w:t>
      </w:r>
      <w:r>
        <w:rPr>
          <w:rFonts w:ascii="Times New Roman" w:eastAsia="SimSun" w:hint="eastAsia"/>
          <w:sz w:val="12"/>
          <w:szCs w:val="12"/>
        </w:rPr>
        <w:t xml:space="preserve"> </w:t>
      </w:r>
      <w:r>
        <w:rPr>
          <w:rFonts w:ascii="Times New Roman" w:eastAsia="SimSun"/>
          <w:sz w:val="12"/>
          <w:szCs w:val="12"/>
        </w:rPr>
        <w:t>The incubation period for COVID-19 is currently estimated at between two and 14 days.</w:t>
      </w:r>
      <w:r>
        <w:rPr>
          <w:rFonts w:ascii="Times New Roman" w:eastAsia="SimSun" w:hint="eastAsia"/>
          <w:sz w:val="12"/>
          <w:szCs w:val="12"/>
        </w:rPr>
        <w:t xml:space="preserve"> </w:t>
      </w:r>
      <w:r>
        <w:rPr>
          <w:rFonts w:ascii="Times New Roman" w:eastAsia="SimSun"/>
          <w:sz w:val="12"/>
          <w:szCs w:val="12"/>
        </w:rPr>
        <w:t>Common symptoms of COVID-19 infection include fever, cough and respiratory symptoms such as shortness of breath and breathing difficulties.</w:t>
      </w:r>
      <w:r>
        <w:rPr>
          <w:rFonts w:ascii="Times New Roman" w:eastAsia="SimSun" w:hint="eastAsia"/>
          <w:sz w:val="12"/>
          <w:szCs w:val="12"/>
        </w:rPr>
        <w:t xml:space="preserve"> </w:t>
      </w:r>
      <w:r>
        <w:rPr>
          <w:rFonts w:ascii="Times New Roman" w:eastAsia="SimSun"/>
          <w:sz w:val="12"/>
          <w:szCs w:val="12"/>
        </w:rPr>
        <w:t>More serious cases develop severe pneumonia, acute respiratory distress syndrome, sepsis and septic shock that can lead to the death of the patient. People with existing chronic conditions seem to be more vulnerable to severe illness.</w:t>
      </w:r>
    </w:p>
    <w:p w14:paraId="0F218485" w14:textId="5AB34FE3" w:rsidR="00CF06B7" w:rsidRDefault="00D84484">
      <w:pPr>
        <w:overflowPunct w:val="0"/>
        <w:autoSpaceDE w:val="0"/>
        <w:autoSpaceDN w:val="0"/>
        <w:adjustRightInd w:val="0"/>
        <w:spacing w:line="140" w:lineRule="exact"/>
        <w:textAlignment w:val="baseline"/>
        <w:rPr>
          <w:rFonts w:ascii="Times New Roman" w:eastAsia="SimSun"/>
          <w:sz w:val="12"/>
          <w:szCs w:val="12"/>
        </w:rPr>
      </w:pPr>
      <w:r>
        <w:rPr>
          <w:rFonts w:ascii="Times New Roman" w:eastAsia="SimSun"/>
          <w:sz w:val="12"/>
          <w:szCs w:val="12"/>
        </w:rPr>
        <w:t>Detection of IgM indicates recent infection and can be used for early diagnosis of infection.</w:t>
      </w:r>
      <w:r>
        <w:rPr>
          <w:rFonts w:ascii="Times New Roman" w:eastAsia="SimSun" w:hint="eastAsia"/>
          <w:sz w:val="12"/>
          <w:szCs w:val="12"/>
        </w:rPr>
        <w:t xml:space="preserve"> </w:t>
      </w:r>
      <w:r>
        <w:rPr>
          <w:rFonts w:ascii="Times New Roman" w:eastAsia="SimSun"/>
          <w:sz w:val="12"/>
          <w:szCs w:val="12"/>
        </w:rPr>
        <w:t xml:space="preserve">IgG antibodies gradually appear and increase in the late stage of infection, </w:t>
      </w:r>
      <w:r>
        <w:rPr>
          <w:rFonts w:ascii="Times New Roman" w:eastAsia="SimSun" w:hint="eastAsia"/>
          <w:sz w:val="12"/>
          <w:szCs w:val="12"/>
        </w:rPr>
        <w:t>and t</w:t>
      </w:r>
      <w:r>
        <w:rPr>
          <w:rFonts w:ascii="Times New Roman" w:eastAsia="SimSun"/>
          <w:sz w:val="12"/>
          <w:szCs w:val="12"/>
        </w:rPr>
        <w:t>he</w:t>
      </w:r>
      <w:r w:rsidR="005855BA">
        <w:rPr>
          <w:rFonts w:ascii="Times New Roman" w:eastAsia="SimSun" w:hint="eastAsia"/>
          <w:sz w:val="12"/>
          <w:szCs w:val="12"/>
        </w:rPr>
        <w:t xml:space="preserve"> Assure</w:t>
      </w:r>
      <w:r>
        <w:rPr>
          <w:rFonts w:ascii="Times New Roman" w:eastAsia="SimSun"/>
          <w:sz w:val="12"/>
          <w:szCs w:val="12"/>
        </w:rPr>
        <w:t xml:space="preserve"> </w:t>
      </w:r>
      <w:r>
        <w:rPr>
          <w:rFonts w:ascii="Times New Roman" w:eastAsia="SimSun" w:hint="eastAsia"/>
          <w:sz w:val="12"/>
          <w:szCs w:val="12"/>
        </w:rPr>
        <w:t>COVID-19</w:t>
      </w:r>
      <w:r>
        <w:rPr>
          <w:rFonts w:ascii="Times New Roman" w:eastAsia="SimSun"/>
          <w:sz w:val="12"/>
          <w:szCs w:val="12"/>
        </w:rPr>
        <w:t xml:space="preserve"> IgG/IgM Rapid Test Device is a simple lateral flow immunoassay for the direct detection of</w:t>
      </w:r>
      <w:r>
        <w:rPr>
          <w:rFonts w:ascii="Times New Roman" w:eastAsia="SimSun" w:hint="eastAsia"/>
          <w:sz w:val="12"/>
          <w:szCs w:val="12"/>
        </w:rPr>
        <w:t xml:space="preserve"> anti-SARS-CoV-2 IgG/IgM</w:t>
      </w:r>
      <w:r>
        <w:rPr>
          <w:rFonts w:ascii="Times New Roman" w:eastAsia="SimSun"/>
          <w:sz w:val="12"/>
          <w:szCs w:val="12"/>
        </w:rPr>
        <w:t xml:space="preserve"> </w:t>
      </w:r>
      <w:r>
        <w:rPr>
          <w:rFonts w:ascii="Times New Roman" w:eastAsia="SimSun" w:hint="eastAsia"/>
          <w:sz w:val="12"/>
          <w:szCs w:val="12"/>
        </w:rPr>
        <w:t>antibody</w:t>
      </w:r>
      <w:r>
        <w:rPr>
          <w:rFonts w:ascii="Times New Roman" w:eastAsia="SimSun"/>
          <w:sz w:val="12"/>
          <w:szCs w:val="12"/>
        </w:rPr>
        <w:t xml:space="preserve">. It will provide a presumptive diagnosis of </w:t>
      </w:r>
      <w:r>
        <w:rPr>
          <w:rFonts w:ascii="Times New Roman" w:eastAsia="SimSun" w:hint="eastAsia"/>
          <w:sz w:val="12"/>
          <w:szCs w:val="12"/>
        </w:rPr>
        <w:t>COVID-19</w:t>
      </w:r>
      <w:r>
        <w:rPr>
          <w:rFonts w:ascii="Times New Roman" w:eastAsia="SimSun"/>
          <w:sz w:val="12"/>
          <w:szCs w:val="12"/>
        </w:rPr>
        <w:t>.</w:t>
      </w:r>
    </w:p>
    <w:p w14:paraId="13E5957F" w14:textId="77777777" w:rsidR="00CF06B7" w:rsidRDefault="00CF06B7">
      <w:pPr>
        <w:overflowPunct w:val="0"/>
        <w:autoSpaceDE w:val="0"/>
        <w:autoSpaceDN w:val="0"/>
        <w:adjustRightInd w:val="0"/>
        <w:spacing w:line="100" w:lineRule="exact"/>
        <w:textAlignment w:val="baseline"/>
        <w:rPr>
          <w:rFonts w:ascii="Times New Roman" w:eastAsia="SimSun"/>
          <w:sz w:val="12"/>
          <w:szCs w:val="12"/>
        </w:rPr>
      </w:pPr>
    </w:p>
    <w:p w14:paraId="69A4DEEF" w14:textId="77777777" w:rsidR="00CF06B7" w:rsidRPr="00026446" w:rsidRDefault="00D84484">
      <w:pPr>
        <w:pStyle w:val="Heading3"/>
        <w:spacing w:line="140" w:lineRule="exact"/>
        <w:rPr>
          <w:rFonts w:eastAsia="SimSun"/>
          <w:color w:val="auto"/>
          <w:szCs w:val="22"/>
          <w:lang w:val="en-US"/>
        </w:rPr>
      </w:pPr>
      <w:r w:rsidRPr="00026446">
        <w:rPr>
          <w:rFonts w:eastAsia="SimSun" w:hint="eastAsia"/>
          <w:color w:val="auto"/>
          <w:szCs w:val="22"/>
          <w:lang w:val="en-US"/>
        </w:rPr>
        <w:t>PRINCIPLE</w:t>
      </w:r>
    </w:p>
    <w:p w14:paraId="42F4C21E" w14:textId="77777777" w:rsidR="00264060" w:rsidRDefault="00264060">
      <w:pPr>
        <w:overflowPunct w:val="0"/>
        <w:autoSpaceDE w:val="0"/>
        <w:autoSpaceDN w:val="0"/>
        <w:adjustRightInd w:val="0"/>
        <w:spacing w:line="140" w:lineRule="exact"/>
        <w:textAlignment w:val="baseline"/>
        <w:rPr>
          <w:rFonts w:ascii="Times New Roman" w:eastAsia="SimSun"/>
          <w:sz w:val="12"/>
          <w:szCs w:val="12"/>
        </w:rPr>
      </w:pPr>
    </w:p>
    <w:p w14:paraId="750960B2" w14:textId="1F52B4F4" w:rsidR="00CF06B7" w:rsidRDefault="00F74540">
      <w:pPr>
        <w:overflowPunct w:val="0"/>
        <w:autoSpaceDE w:val="0"/>
        <w:autoSpaceDN w:val="0"/>
        <w:adjustRightInd w:val="0"/>
        <w:spacing w:line="140" w:lineRule="exact"/>
        <w:textAlignment w:val="baseline"/>
        <w:rPr>
          <w:rFonts w:ascii="Times New Roman" w:eastAsia="SimSun"/>
          <w:sz w:val="12"/>
          <w:szCs w:val="12"/>
        </w:rPr>
      </w:pPr>
      <w:r w:rsidRPr="00F74540">
        <w:rPr>
          <w:rFonts w:ascii="Times New Roman" w:eastAsia="SimSun"/>
          <w:sz w:val="12"/>
          <w:szCs w:val="12"/>
        </w:rPr>
        <w:t>The Assure COVID-19 IgG/IgM Rapid Test Device is a lateral flow immunochromatographic assay for the detection of SARS-CoV-2 antibodies in venous whole blood, serum or plasma. This test uses anti-human IgM antibody (test line IgM), anti-human IgG (test line IgG) and goat anti-mouse IgG (control line C) immobilized on a nitrocellulose strip. The conjugate pad contains recombinant SARS-CoV-2 antigen (antigen is recombinant Nucleocapsid Protein and Spike Protein (S1)) conjugated with colloid gold</w:t>
      </w:r>
      <w:r w:rsidR="00264060">
        <w:rPr>
          <w:rFonts w:ascii="Times New Roman" w:eastAsia="SimSun"/>
          <w:sz w:val="12"/>
          <w:szCs w:val="12"/>
        </w:rPr>
        <w:t>.</w:t>
      </w:r>
    </w:p>
    <w:p w14:paraId="4AA4B157" w14:textId="2B8287C9" w:rsidR="00264060" w:rsidRDefault="00264060">
      <w:pPr>
        <w:overflowPunct w:val="0"/>
        <w:autoSpaceDE w:val="0"/>
        <w:autoSpaceDN w:val="0"/>
        <w:adjustRightInd w:val="0"/>
        <w:spacing w:line="140" w:lineRule="exact"/>
        <w:textAlignment w:val="baseline"/>
        <w:rPr>
          <w:rFonts w:ascii="Times New Roman" w:eastAsia="SimSun"/>
          <w:sz w:val="12"/>
          <w:szCs w:val="12"/>
        </w:rPr>
      </w:pPr>
      <w:r w:rsidRPr="00264060">
        <w:rPr>
          <w:rFonts w:ascii="Times New Roman" w:eastAsia="SimSun"/>
          <w:sz w:val="12"/>
          <w:szCs w:val="12"/>
        </w:rPr>
        <w:t>During testing, the specimen binds with SARS-CoV-2 antigen- conjugated gold colloid coated particles in the test cassette. When a specimen followed by assay buffer is added to the sample well, IgM &amp;/or IgG antibodies if present, will bind to COVID-19 conjugates making antigen antibodies complex. This complex migrates through nitrocellulose membrane by capillary action. When the complex meets the line of the corresponding immobilized antibody (anti-human IgM &amp;/or anti-human IgG) the complex is trapped forming a red line which confirm a reactive test result. Absence of a red line in the test region indicates a non-reactive test result.</w:t>
      </w:r>
    </w:p>
    <w:p w14:paraId="499FF2A0" w14:textId="58DD0320" w:rsidR="00264060" w:rsidRDefault="00264060">
      <w:pPr>
        <w:overflowPunct w:val="0"/>
        <w:autoSpaceDE w:val="0"/>
        <w:autoSpaceDN w:val="0"/>
        <w:adjustRightInd w:val="0"/>
        <w:spacing w:line="140" w:lineRule="exact"/>
        <w:textAlignment w:val="baseline"/>
        <w:rPr>
          <w:rFonts w:ascii="Times New Roman" w:eastAsia="SimSun"/>
          <w:sz w:val="12"/>
          <w:szCs w:val="12"/>
        </w:rPr>
      </w:pPr>
      <w:r w:rsidRPr="00264060">
        <w:rPr>
          <w:rFonts w:ascii="Times New Roman" w:eastAsia="SimSun"/>
          <w:sz w:val="12"/>
          <w:szCs w:val="12"/>
        </w:rPr>
        <w:t>To serve as a procedural control, a red line will always appear in the control line region, indicating that the proper volume of specimen has been added and membrane wicking has occurred.</w:t>
      </w:r>
    </w:p>
    <w:p w14:paraId="31CDD8CA" w14:textId="6D63F8F7" w:rsidR="00264060" w:rsidRDefault="00264060">
      <w:pPr>
        <w:overflowPunct w:val="0"/>
        <w:autoSpaceDE w:val="0"/>
        <w:autoSpaceDN w:val="0"/>
        <w:adjustRightInd w:val="0"/>
        <w:spacing w:line="140" w:lineRule="exact"/>
        <w:textAlignment w:val="baseline"/>
        <w:rPr>
          <w:rFonts w:ascii="Times New Roman" w:eastAsia="SimSun"/>
          <w:sz w:val="12"/>
          <w:szCs w:val="12"/>
        </w:rPr>
      </w:pPr>
      <w:r w:rsidRPr="00264060">
        <w:rPr>
          <w:rFonts w:ascii="Times New Roman" w:eastAsia="SimSun"/>
          <w:sz w:val="12"/>
          <w:szCs w:val="12"/>
        </w:rPr>
        <w:t>The presence of a red band(s) on the test region(s) indicates a positive result for the particular IgG and/or IgM antibodies, while its absence indicates a negative result. A red band at the control region (C) serves as a procedural control, indicating that membrane wicking is working.</w:t>
      </w:r>
    </w:p>
    <w:p w14:paraId="51179874" w14:textId="77777777" w:rsidR="00CF06B7" w:rsidRPr="004420AD" w:rsidRDefault="00CF06B7">
      <w:pPr>
        <w:overflowPunct w:val="0"/>
        <w:autoSpaceDE w:val="0"/>
        <w:autoSpaceDN w:val="0"/>
        <w:adjustRightInd w:val="0"/>
        <w:spacing w:line="100" w:lineRule="exact"/>
        <w:textAlignment w:val="baseline"/>
        <w:rPr>
          <w:rFonts w:ascii="Times New Roman"/>
          <w:strike/>
          <w:sz w:val="12"/>
          <w:szCs w:val="12"/>
        </w:rPr>
      </w:pPr>
    </w:p>
    <w:p w14:paraId="1140685E" w14:textId="77777777" w:rsidR="00CF06B7" w:rsidRDefault="00D84484">
      <w:pPr>
        <w:pStyle w:val="Heading3"/>
        <w:spacing w:line="140" w:lineRule="exact"/>
        <w:rPr>
          <w:rFonts w:eastAsia="SimSun"/>
          <w:color w:val="auto"/>
          <w:szCs w:val="22"/>
        </w:rPr>
      </w:pPr>
      <w:r>
        <w:rPr>
          <w:rFonts w:eastAsia="SimSun" w:hint="eastAsia"/>
          <w:color w:val="auto"/>
          <w:szCs w:val="22"/>
        </w:rPr>
        <w:t>REAGENTS AND MATERIALS</w:t>
      </w:r>
    </w:p>
    <w:p w14:paraId="6EF0A9E6" w14:textId="77777777" w:rsidR="00CF06B7" w:rsidRDefault="00CF06B7">
      <w:pPr>
        <w:spacing w:line="140" w:lineRule="exact"/>
        <w:rPr>
          <w:rFonts w:ascii="Times New Roman"/>
          <w:sz w:val="6"/>
          <w:szCs w:val="6"/>
        </w:rPr>
      </w:pPr>
    </w:p>
    <w:p w14:paraId="21B2CEE6" w14:textId="77777777" w:rsidR="00CF06B7" w:rsidRDefault="00D84484">
      <w:pPr>
        <w:spacing w:line="140" w:lineRule="exact"/>
        <w:jc w:val="center"/>
        <w:rPr>
          <w:rFonts w:ascii="Times New Roman"/>
          <w:b/>
          <w:color w:val="FFFFFF"/>
          <w:sz w:val="12"/>
          <w:szCs w:val="12"/>
        </w:rPr>
      </w:pPr>
      <w:r>
        <w:rPr>
          <w:rFonts w:ascii="Times New Roman" w:hint="eastAsia"/>
          <w:b/>
          <w:color w:val="FFFFFF"/>
          <w:sz w:val="12"/>
          <w:szCs w:val="12"/>
          <w:highlight w:val="black"/>
        </w:rPr>
        <w:t xml:space="preserve"> </w:t>
      </w:r>
      <w:r>
        <w:rPr>
          <w:rFonts w:ascii="Times New Roman"/>
          <w:b/>
          <w:color w:val="FFFFFF"/>
          <w:sz w:val="12"/>
          <w:szCs w:val="12"/>
          <w:highlight w:val="black"/>
        </w:rPr>
        <w:t>Materials Provide</w:t>
      </w:r>
      <w:r>
        <w:rPr>
          <w:rFonts w:ascii="Times New Roman"/>
          <w:b/>
          <w:color w:val="FFFFFF"/>
          <w:sz w:val="12"/>
          <w:szCs w:val="12"/>
          <w:highlight w:val="black"/>
          <w:shd w:val="clear" w:color="auto" w:fill="000000"/>
        </w:rPr>
        <w:t>d</w:t>
      </w:r>
      <w:r>
        <w:rPr>
          <w:rFonts w:ascii="Times New Roman" w:hint="eastAsia"/>
          <w:b/>
          <w:color w:val="FFFFFF"/>
          <w:sz w:val="12"/>
          <w:szCs w:val="12"/>
          <w:shd w:val="clear" w:color="auto" w:fill="000000"/>
        </w:rPr>
        <w:t xml:space="preserve"> </w:t>
      </w:r>
    </w:p>
    <w:p w14:paraId="63B80839" w14:textId="77777777" w:rsidR="00CF06B7" w:rsidRDefault="00CF06B7">
      <w:pPr>
        <w:overflowPunct w:val="0"/>
        <w:autoSpaceDE w:val="0"/>
        <w:autoSpaceDN w:val="0"/>
        <w:adjustRightInd w:val="0"/>
        <w:spacing w:line="140" w:lineRule="exact"/>
        <w:textAlignment w:val="baseline"/>
        <w:rPr>
          <w:rFonts w:ascii="Times New Roman" w:eastAsia="SimSun"/>
          <w:b/>
          <w:sz w:val="12"/>
          <w:szCs w:val="12"/>
        </w:rPr>
      </w:pPr>
    </w:p>
    <w:tbl>
      <w:tblPr>
        <w:tblW w:w="48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7"/>
        <w:gridCol w:w="2267"/>
      </w:tblGrid>
      <w:tr w:rsidR="00CF06B7" w14:paraId="354B2A89" w14:textId="77777777">
        <w:trPr>
          <w:trHeight w:val="231"/>
          <w:jc w:val="center"/>
        </w:trPr>
        <w:tc>
          <w:tcPr>
            <w:tcW w:w="2703" w:type="pct"/>
            <w:tcBorders>
              <w:top w:val="nil"/>
              <w:left w:val="nil"/>
              <w:bottom w:val="nil"/>
              <w:right w:val="nil"/>
            </w:tcBorders>
          </w:tcPr>
          <w:p w14:paraId="2620552A"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 xml:space="preserve">Individually packed test </w:t>
            </w:r>
            <w:r>
              <w:rPr>
                <w:rFonts w:ascii="Times New Roman" w:hint="eastAsia"/>
                <w:sz w:val="12"/>
                <w:szCs w:val="12"/>
              </w:rPr>
              <w:t>devices</w:t>
            </w:r>
          </w:p>
          <w:p w14:paraId="416FF9A9"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eastAsia="Microsoft YaHei" w:hint="eastAsia"/>
                <w:sz w:val="12"/>
                <w:szCs w:val="12"/>
              </w:rPr>
              <w:t>Disposable pipettes</w:t>
            </w:r>
          </w:p>
          <w:p w14:paraId="7FC99438"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eastAsia="SimSun" w:hint="eastAsia"/>
                <w:sz w:val="12"/>
                <w:szCs w:val="12"/>
              </w:rPr>
              <w:t>Sterile safety lancet</w:t>
            </w:r>
          </w:p>
          <w:p w14:paraId="734821A6"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eastAsia="Microsoft YaHei"/>
                <w:sz w:val="12"/>
                <w:szCs w:val="12"/>
              </w:rPr>
              <w:t>Negative control</w:t>
            </w:r>
            <w:r>
              <w:rPr>
                <w:rFonts w:ascii="Times New Roman" w:eastAsia="Microsoft YaHei" w:hint="eastAsia"/>
                <w:sz w:val="12"/>
                <w:szCs w:val="12"/>
              </w:rPr>
              <w:t xml:space="preserve"> </w:t>
            </w:r>
          </w:p>
        </w:tc>
        <w:tc>
          <w:tcPr>
            <w:tcW w:w="2297" w:type="pct"/>
            <w:tcBorders>
              <w:top w:val="nil"/>
              <w:left w:val="nil"/>
              <w:bottom w:val="nil"/>
              <w:right w:val="nil"/>
            </w:tcBorders>
          </w:tcPr>
          <w:p w14:paraId="313FE081" w14:textId="77777777" w:rsidR="00CF06B7" w:rsidRDefault="00D84484">
            <w:pPr>
              <w:numPr>
                <w:ilvl w:val="0"/>
                <w:numId w:val="1"/>
              </w:numPr>
              <w:tabs>
                <w:tab w:val="left" w:pos="102"/>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eastAsia="SimSun" w:hint="eastAsia"/>
                <w:sz w:val="12"/>
                <w:szCs w:val="12"/>
              </w:rPr>
              <w:t>B</w:t>
            </w:r>
            <w:r>
              <w:rPr>
                <w:rFonts w:ascii="Times New Roman" w:hint="eastAsia"/>
                <w:sz w:val="12"/>
                <w:szCs w:val="12"/>
              </w:rPr>
              <w:t xml:space="preserve">uffer </w:t>
            </w:r>
          </w:p>
          <w:p w14:paraId="7A9490CC" w14:textId="77777777" w:rsidR="00CF06B7" w:rsidRDefault="00D84484">
            <w:pPr>
              <w:numPr>
                <w:ilvl w:val="0"/>
                <w:numId w:val="1"/>
              </w:numPr>
              <w:tabs>
                <w:tab w:val="left" w:pos="102"/>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hint="eastAsia"/>
                <w:sz w:val="12"/>
                <w:szCs w:val="12"/>
              </w:rPr>
              <w:t xml:space="preserve">Package </w:t>
            </w:r>
            <w:proofErr w:type="gramStart"/>
            <w:r>
              <w:rPr>
                <w:rFonts w:ascii="Times New Roman" w:hint="eastAsia"/>
                <w:sz w:val="12"/>
                <w:szCs w:val="12"/>
              </w:rPr>
              <w:t>insert</w:t>
            </w:r>
            <w:proofErr w:type="gramEnd"/>
          </w:p>
          <w:p w14:paraId="3083DD71" w14:textId="77777777" w:rsidR="00CF06B7" w:rsidRDefault="00D84484">
            <w:pPr>
              <w:numPr>
                <w:ilvl w:val="0"/>
                <w:numId w:val="1"/>
              </w:numPr>
              <w:tabs>
                <w:tab w:val="left" w:pos="102"/>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eastAsia="SimSun" w:hint="eastAsia"/>
                <w:sz w:val="12"/>
                <w:szCs w:val="12"/>
              </w:rPr>
              <w:t>Alcohol Prep pad</w:t>
            </w:r>
          </w:p>
          <w:p w14:paraId="4DD3114A" w14:textId="77777777" w:rsidR="00CF06B7" w:rsidRDefault="00D84484">
            <w:pPr>
              <w:numPr>
                <w:ilvl w:val="0"/>
                <w:numId w:val="1"/>
              </w:numPr>
              <w:tabs>
                <w:tab w:val="left" w:pos="102"/>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hint="eastAsia"/>
                <w:sz w:val="12"/>
                <w:szCs w:val="12"/>
              </w:rPr>
              <w:t>Positive</w:t>
            </w:r>
            <w:r>
              <w:rPr>
                <w:rFonts w:ascii="Times New Roman"/>
                <w:sz w:val="12"/>
                <w:szCs w:val="12"/>
              </w:rPr>
              <w:t xml:space="preserve"> control</w:t>
            </w:r>
            <w:r>
              <w:rPr>
                <w:rFonts w:ascii="Times New Roman" w:hint="eastAsia"/>
                <w:sz w:val="12"/>
                <w:szCs w:val="12"/>
              </w:rPr>
              <w:t xml:space="preserve"> </w:t>
            </w:r>
          </w:p>
        </w:tc>
      </w:tr>
    </w:tbl>
    <w:p w14:paraId="743C5EB3" w14:textId="4EAFF7C0" w:rsidR="007A64F5" w:rsidRPr="003D3890" w:rsidRDefault="007A64F5">
      <w:pPr>
        <w:spacing w:line="140" w:lineRule="exact"/>
        <w:rPr>
          <w:rFonts w:ascii="Times New Roman"/>
          <w:b/>
          <w:sz w:val="12"/>
          <w:szCs w:val="12"/>
        </w:rPr>
      </w:pPr>
    </w:p>
    <w:p w14:paraId="4FC061B5" w14:textId="6064794C" w:rsidR="003D3890" w:rsidRPr="001925C9" w:rsidRDefault="003D3890">
      <w:pPr>
        <w:spacing w:line="140" w:lineRule="exact"/>
        <w:rPr>
          <w:rFonts w:ascii="Times New Roman"/>
          <w:b/>
          <w:sz w:val="12"/>
          <w:szCs w:val="12"/>
          <w:u w:val="single"/>
        </w:rPr>
      </w:pPr>
      <w:r w:rsidRPr="001925C9">
        <w:rPr>
          <w:rFonts w:ascii="Times New Roman"/>
          <w:b/>
          <w:sz w:val="12"/>
          <w:szCs w:val="12"/>
          <w:u w:val="single"/>
        </w:rPr>
        <w:t>External Negative and Positive Control</w:t>
      </w:r>
    </w:p>
    <w:p w14:paraId="075B7EC1" w14:textId="488128CE" w:rsidR="006B36D7" w:rsidRDefault="00B16009">
      <w:pPr>
        <w:spacing w:line="140" w:lineRule="exact"/>
        <w:rPr>
          <w:rFonts w:ascii="Times New Roman"/>
          <w:sz w:val="12"/>
          <w:szCs w:val="12"/>
        </w:rPr>
      </w:pPr>
      <w:r w:rsidRPr="001925C9">
        <w:rPr>
          <w:rFonts w:ascii="Times New Roman"/>
          <w:sz w:val="12"/>
          <w:szCs w:val="12"/>
        </w:rPr>
        <w:t xml:space="preserve">Negative controls are lyophilized human serum samples and positive controls are lyophilized IgG and IgM against SARS-CoV-2. Two negative control vials are supplied. </w:t>
      </w:r>
      <w:r w:rsidR="00042902" w:rsidRPr="001925C9">
        <w:rPr>
          <w:rFonts w:ascii="Times New Roman"/>
          <w:sz w:val="12"/>
          <w:szCs w:val="12"/>
        </w:rPr>
        <w:t xml:space="preserve">Reconstitute each negative control vial with 30 </w:t>
      </w:r>
      <w:bookmarkStart w:id="1" w:name="_Hlk44847800"/>
      <w:r w:rsidR="00042902" w:rsidRPr="001925C9">
        <w:rPr>
          <w:rFonts w:ascii="Symbol" w:hAnsi="Symbol"/>
          <w:sz w:val="12"/>
          <w:szCs w:val="12"/>
        </w:rPr>
        <w:t></w:t>
      </w:r>
      <w:r w:rsidR="00042902" w:rsidRPr="001925C9">
        <w:rPr>
          <w:rFonts w:ascii="Times New Roman"/>
          <w:sz w:val="12"/>
          <w:szCs w:val="12"/>
        </w:rPr>
        <w:t>L</w:t>
      </w:r>
      <w:bookmarkEnd w:id="1"/>
      <w:r w:rsidR="00042902" w:rsidRPr="001925C9">
        <w:rPr>
          <w:rFonts w:ascii="Times New Roman"/>
          <w:sz w:val="12"/>
          <w:szCs w:val="12"/>
        </w:rPr>
        <w:t xml:space="preserve"> purified water. Transfer one</w:t>
      </w:r>
      <w:r w:rsidRPr="001925C9">
        <w:rPr>
          <w:rFonts w:ascii="Times New Roman"/>
          <w:sz w:val="12"/>
          <w:szCs w:val="12"/>
        </w:rPr>
        <w:t xml:space="preserve"> reconstitute</w:t>
      </w:r>
      <w:r w:rsidR="00042902" w:rsidRPr="001925C9">
        <w:rPr>
          <w:rFonts w:ascii="Times New Roman"/>
          <w:sz w:val="12"/>
          <w:szCs w:val="12"/>
        </w:rPr>
        <w:t>d</w:t>
      </w:r>
      <w:r w:rsidR="006B36D7" w:rsidRPr="001925C9">
        <w:rPr>
          <w:rFonts w:ascii="Times New Roman"/>
          <w:sz w:val="12"/>
          <w:szCs w:val="12"/>
        </w:rPr>
        <w:t xml:space="preserve"> </w:t>
      </w:r>
      <w:r w:rsidR="0012558A" w:rsidRPr="001925C9">
        <w:rPr>
          <w:rFonts w:ascii="Times New Roman"/>
          <w:sz w:val="12"/>
          <w:szCs w:val="12"/>
        </w:rPr>
        <w:t xml:space="preserve">30 </w:t>
      </w:r>
      <w:r w:rsidR="0012558A" w:rsidRPr="001925C9">
        <w:rPr>
          <w:rFonts w:ascii="Symbol" w:hAnsi="Symbol"/>
          <w:sz w:val="12"/>
          <w:szCs w:val="12"/>
        </w:rPr>
        <w:t></w:t>
      </w:r>
      <w:r w:rsidR="0012558A" w:rsidRPr="001925C9">
        <w:rPr>
          <w:rFonts w:ascii="Times New Roman"/>
          <w:sz w:val="12"/>
          <w:szCs w:val="12"/>
        </w:rPr>
        <w:t>L</w:t>
      </w:r>
      <w:r w:rsidR="0012558A" w:rsidRPr="001925C9" w:rsidDel="0012558A">
        <w:rPr>
          <w:rFonts w:ascii="Times New Roman"/>
          <w:sz w:val="12"/>
          <w:szCs w:val="12"/>
        </w:rPr>
        <w:t xml:space="preserve"> </w:t>
      </w:r>
      <w:r w:rsidR="0012558A" w:rsidRPr="001925C9">
        <w:rPr>
          <w:rFonts w:ascii="Times New Roman"/>
          <w:sz w:val="12"/>
          <w:szCs w:val="12"/>
        </w:rPr>
        <w:t>negative</w:t>
      </w:r>
      <w:r w:rsidR="006B36D7" w:rsidRPr="001925C9">
        <w:rPr>
          <w:rFonts w:ascii="Times New Roman"/>
          <w:sz w:val="12"/>
          <w:szCs w:val="12"/>
        </w:rPr>
        <w:t xml:space="preserve"> control </w:t>
      </w:r>
      <w:r w:rsidR="0012558A" w:rsidRPr="001925C9">
        <w:rPr>
          <w:rFonts w:ascii="Times New Roman"/>
          <w:sz w:val="12"/>
          <w:szCs w:val="12"/>
        </w:rPr>
        <w:t>to the positive control vial to make ready-to-use positive control</w:t>
      </w:r>
      <w:r w:rsidR="006B36D7" w:rsidRPr="001925C9">
        <w:rPr>
          <w:rFonts w:ascii="Times New Roman"/>
          <w:sz w:val="12"/>
          <w:szCs w:val="12"/>
        </w:rPr>
        <w:t>.</w:t>
      </w:r>
      <w:r w:rsidR="0012558A" w:rsidRPr="001925C9">
        <w:rPr>
          <w:rFonts w:ascii="Times New Roman"/>
          <w:sz w:val="12"/>
          <w:szCs w:val="12"/>
        </w:rPr>
        <w:t xml:space="preserve"> </w:t>
      </w:r>
      <w:r w:rsidR="00DD33BD" w:rsidRPr="001925C9">
        <w:rPr>
          <w:rFonts w:ascii="Times New Roman"/>
          <w:sz w:val="12"/>
          <w:szCs w:val="12"/>
        </w:rPr>
        <w:t xml:space="preserve">Controls can be used like a serum sample. </w:t>
      </w:r>
      <w:r w:rsidR="0012558A" w:rsidRPr="001925C9">
        <w:rPr>
          <w:rFonts w:ascii="Times New Roman"/>
          <w:sz w:val="12"/>
          <w:szCs w:val="12"/>
        </w:rPr>
        <w:t>Store reconstituted controls at 4</w:t>
      </w:r>
      <w:r w:rsidR="0012558A" w:rsidRPr="001925C9">
        <w:rPr>
          <w:rFonts w:ascii="Times New Roman"/>
          <w:sz w:val="12"/>
          <w:szCs w:val="12"/>
          <w:vertAlign w:val="superscript"/>
        </w:rPr>
        <w:t>o</w:t>
      </w:r>
      <w:r w:rsidR="0012558A" w:rsidRPr="001925C9">
        <w:rPr>
          <w:rFonts w:ascii="Times New Roman"/>
          <w:sz w:val="12"/>
          <w:szCs w:val="12"/>
        </w:rPr>
        <w:t>C.</w:t>
      </w:r>
    </w:p>
    <w:p w14:paraId="1FAB9DC4" w14:textId="6CBF70E9" w:rsidR="00CF06B7" w:rsidRPr="007A64F5" w:rsidRDefault="006B36D7">
      <w:pPr>
        <w:spacing w:line="140" w:lineRule="exact"/>
        <w:rPr>
          <w:rFonts w:ascii="Times New Roman" w:eastAsia="SimSun"/>
          <w:bCs/>
          <w:color w:val="FFFFFF"/>
          <w:sz w:val="12"/>
          <w:szCs w:val="12"/>
          <w:highlight w:val="black"/>
        </w:rPr>
      </w:pPr>
      <w:r>
        <w:rPr>
          <w:rFonts w:ascii="Times New Roman"/>
          <w:sz w:val="12"/>
          <w:szCs w:val="12"/>
        </w:rPr>
        <w:t xml:space="preserve">  </w:t>
      </w:r>
    </w:p>
    <w:p w14:paraId="15D0336F" w14:textId="77777777" w:rsidR="00CF06B7" w:rsidRDefault="00D84484">
      <w:pPr>
        <w:spacing w:line="140" w:lineRule="exact"/>
        <w:jc w:val="center"/>
        <w:rPr>
          <w:rFonts w:ascii="Times New Roman"/>
          <w:b/>
          <w:color w:val="FFFFFF"/>
          <w:sz w:val="12"/>
          <w:szCs w:val="12"/>
        </w:rPr>
      </w:pPr>
      <w:r>
        <w:rPr>
          <w:rFonts w:ascii="Times New Roman" w:hint="eastAsia"/>
          <w:b/>
          <w:color w:val="FFFFFF"/>
          <w:sz w:val="12"/>
          <w:szCs w:val="12"/>
          <w:highlight w:val="black"/>
        </w:rPr>
        <w:t xml:space="preserve"> </w:t>
      </w:r>
      <w:r>
        <w:rPr>
          <w:rFonts w:ascii="Times New Roman"/>
          <w:b/>
          <w:color w:val="FFFFFF"/>
          <w:sz w:val="12"/>
          <w:szCs w:val="12"/>
          <w:highlight w:val="black"/>
        </w:rPr>
        <w:t xml:space="preserve">Materials Required but Not </w:t>
      </w:r>
      <w:r>
        <w:rPr>
          <w:rFonts w:ascii="Times New Roman" w:eastAsia="SimSun" w:hint="eastAsia"/>
          <w:b/>
          <w:color w:val="FFFFFF"/>
          <w:sz w:val="12"/>
          <w:szCs w:val="12"/>
          <w:highlight w:val="black"/>
        </w:rPr>
        <w:t>P</w:t>
      </w:r>
      <w:r>
        <w:rPr>
          <w:rFonts w:ascii="Times New Roman"/>
          <w:b/>
          <w:color w:val="FFFFFF"/>
          <w:sz w:val="12"/>
          <w:szCs w:val="12"/>
          <w:highlight w:val="black"/>
        </w:rPr>
        <w:t>rovided</w:t>
      </w:r>
      <w:r>
        <w:rPr>
          <w:rFonts w:ascii="Times New Roman" w:hint="eastAsia"/>
          <w:b/>
          <w:color w:val="FFFFFF"/>
          <w:sz w:val="12"/>
          <w:szCs w:val="12"/>
          <w:shd w:val="clear" w:color="auto" w:fill="000000"/>
        </w:rPr>
        <w:t xml:space="preserve"> </w:t>
      </w:r>
    </w:p>
    <w:tbl>
      <w:tblPr>
        <w:tblW w:w="4917" w:type="pct"/>
        <w:jc w:val="center"/>
        <w:tblLook w:val="04A0" w:firstRow="1" w:lastRow="0" w:firstColumn="1" w:lastColumn="0" w:noHBand="0" w:noVBand="1"/>
      </w:tblPr>
      <w:tblGrid>
        <w:gridCol w:w="2672"/>
        <w:gridCol w:w="2289"/>
      </w:tblGrid>
      <w:tr w:rsidR="00CF06B7" w14:paraId="66C7066C" w14:textId="77777777">
        <w:trPr>
          <w:trHeight w:val="185"/>
          <w:jc w:val="center"/>
        </w:trPr>
        <w:tc>
          <w:tcPr>
            <w:tcW w:w="2692" w:type="pct"/>
          </w:tcPr>
          <w:p w14:paraId="6F51EAE2" w14:textId="77777777" w:rsidR="00CF06B7" w:rsidRDefault="00D84484">
            <w:pPr>
              <w:numPr>
                <w:ilvl w:val="0"/>
                <w:numId w:val="2"/>
              </w:numPr>
              <w:tabs>
                <w:tab w:val="clear" w:pos="720"/>
                <w:tab w:val="left" w:pos="201"/>
              </w:tabs>
              <w:overflowPunct w:val="0"/>
              <w:autoSpaceDE w:val="0"/>
              <w:autoSpaceDN w:val="0"/>
              <w:adjustRightInd w:val="0"/>
              <w:spacing w:line="130" w:lineRule="exact"/>
              <w:ind w:hanging="720"/>
              <w:textAlignment w:val="baseline"/>
              <w:rPr>
                <w:rFonts w:ascii="Times New Roman" w:eastAsia="Microsoft YaHei"/>
                <w:sz w:val="12"/>
                <w:szCs w:val="12"/>
              </w:rPr>
            </w:pPr>
            <w:r>
              <w:rPr>
                <w:rFonts w:ascii="Times New Roman"/>
                <w:sz w:val="12"/>
                <w:szCs w:val="12"/>
              </w:rPr>
              <w:t>Clock, timer or stopwatch</w:t>
            </w:r>
            <w:r>
              <w:rPr>
                <w:rFonts w:ascii="Times New Roman" w:hint="eastAsia"/>
                <w:sz w:val="12"/>
                <w:szCs w:val="12"/>
              </w:rPr>
              <w:t xml:space="preserve"> </w:t>
            </w:r>
          </w:p>
        </w:tc>
        <w:tc>
          <w:tcPr>
            <w:tcW w:w="2307" w:type="pct"/>
          </w:tcPr>
          <w:p w14:paraId="34ACDDD5" w14:textId="77777777" w:rsidR="00CF06B7" w:rsidRDefault="00D84484">
            <w:pPr>
              <w:numPr>
                <w:ilvl w:val="0"/>
                <w:numId w:val="3"/>
              </w:numPr>
              <w:tabs>
                <w:tab w:val="clear" w:pos="612"/>
                <w:tab w:val="left" w:pos="207"/>
              </w:tabs>
              <w:overflowPunct w:val="0"/>
              <w:autoSpaceDE w:val="0"/>
              <w:autoSpaceDN w:val="0"/>
              <w:adjustRightInd w:val="0"/>
              <w:spacing w:line="130" w:lineRule="exact"/>
              <w:ind w:hanging="612"/>
              <w:textAlignment w:val="baseline"/>
              <w:rPr>
                <w:rFonts w:ascii="Times New Roman" w:eastAsia="Microsoft YaHei"/>
                <w:sz w:val="12"/>
                <w:szCs w:val="12"/>
              </w:rPr>
            </w:pPr>
            <w:r>
              <w:rPr>
                <w:rFonts w:ascii="Times New Roman" w:eastAsia="SimSun" w:hint="eastAsia"/>
                <w:sz w:val="12"/>
                <w:szCs w:val="12"/>
              </w:rPr>
              <w:t>Specimen collection container</w:t>
            </w:r>
          </w:p>
        </w:tc>
      </w:tr>
    </w:tbl>
    <w:p w14:paraId="7C4E5976" w14:textId="77777777" w:rsidR="00CF06B7" w:rsidRDefault="00CF06B7">
      <w:pPr>
        <w:overflowPunct w:val="0"/>
        <w:autoSpaceDE w:val="0"/>
        <w:autoSpaceDN w:val="0"/>
        <w:adjustRightInd w:val="0"/>
        <w:spacing w:line="20" w:lineRule="exact"/>
        <w:textAlignment w:val="baseline"/>
        <w:rPr>
          <w:rFonts w:ascii="Times New Roman"/>
          <w:sz w:val="12"/>
          <w:szCs w:val="12"/>
        </w:rPr>
      </w:pPr>
    </w:p>
    <w:p w14:paraId="64CB0A36" w14:textId="77777777" w:rsidR="00CF06B7" w:rsidRDefault="00D84484">
      <w:pPr>
        <w:pStyle w:val="Heading3"/>
        <w:spacing w:line="140" w:lineRule="exact"/>
        <w:rPr>
          <w:rFonts w:eastAsia="SimSun"/>
          <w:color w:val="auto"/>
          <w:szCs w:val="22"/>
        </w:rPr>
      </w:pPr>
      <w:r>
        <w:rPr>
          <w:rFonts w:eastAsia="SimSun"/>
          <w:color w:val="auto"/>
          <w:szCs w:val="22"/>
        </w:rPr>
        <w:t xml:space="preserve">WARNING AND </w:t>
      </w:r>
      <w:r>
        <w:rPr>
          <w:rFonts w:eastAsia="SimSun" w:hint="eastAsia"/>
          <w:color w:val="auto"/>
          <w:szCs w:val="22"/>
        </w:rPr>
        <w:t>PRECAUTIONS</w:t>
      </w:r>
    </w:p>
    <w:p w14:paraId="5C53ADAE" w14:textId="77777777" w:rsidR="00CF06B7" w:rsidRDefault="00CF06B7">
      <w:pPr>
        <w:tabs>
          <w:tab w:val="left" w:pos="210"/>
        </w:tabs>
        <w:overflowPunct w:val="0"/>
        <w:autoSpaceDE w:val="0"/>
        <w:autoSpaceDN w:val="0"/>
        <w:adjustRightInd w:val="0"/>
        <w:spacing w:line="140" w:lineRule="exact"/>
        <w:textAlignment w:val="baseline"/>
        <w:rPr>
          <w:rFonts w:ascii="Times New Roman"/>
          <w:sz w:val="12"/>
          <w:szCs w:val="12"/>
        </w:rPr>
      </w:pPr>
    </w:p>
    <w:p w14:paraId="113AD3EA"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bookmarkStart w:id="2" w:name="_Hlk44568600"/>
      <w:r>
        <w:rPr>
          <w:rFonts w:ascii="Times New Roman"/>
          <w:sz w:val="12"/>
          <w:szCs w:val="12"/>
        </w:rPr>
        <w:t xml:space="preserve">For use under </w:t>
      </w:r>
      <w:bookmarkEnd w:id="2"/>
      <w:r>
        <w:rPr>
          <w:rFonts w:ascii="Times New Roman"/>
          <w:sz w:val="12"/>
          <w:szCs w:val="12"/>
        </w:rPr>
        <w:t>an Emergency Use Authorization Only.</w:t>
      </w:r>
    </w:p>
    <w:p w14:paraId="18E07A79" w14:textId="4E09366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 xml:space="preserve">For </w:t>
      </w:r>
      <w:r>
        <w:rPr>
          <w:rFonts w:ascii="Times New Roman"/>
          <w:i/>
          <w:sz w:val="12"/>
          <w:szCs w:val="12"/>
        </w:rPr>
        <w:t xml:space="preserve">in </w:t>
      </w:r>
      <w:r>
        <w:rPr>
          <w:rFonts w:ascii="Times New Roman"/>
          <w:sz w:val="12"/>
          <w:szCs w:val="12"/>
        </w:rPr>
        <w:t>vitro Diagnostic Use Only.</w:t>
      </w:r>
    </w:p>
    <w:p w14:paraId="06D0582C" w14:textId="77777777" w:rsidR="00ED13CA" w:rsidRPr="00B71CE9" w:rsidRDefault="00ED13CA" w:rsidP="00B71CE9">
      <w:pPr>
        <w:pStyle w:val="NormalWeb"/>
        <w:numPr>
          <w:ilvl w:val="0"/>
          <w:numId w:val="1"/>
        </w:numPr>
        <w:snapToGrid w:val="0"/>
        <w:spacing w:before="0" w:beforeAutospacing="0" w:after="0" w:afterAutospacing="0"/>
        <w:ind w:left="187" w:hanging="187"/>
        <w:rPr>
          <w:rFonts w:eastAsia="Arial"/>
          <w:color w:val="000000"/>
          <w:sz w:val="12"/>
          <w:szCs w:val="12"/>
          <w:lang w:eastAsia="en-US" w:bidi="en-US"/>
        </w:rPr>
      </w:pPr>
      <w:r w:rsidRPr="00B71CE9">
        <w:rPr>
          <w:rFonts w:eastAsia="Arial"/>
          <w:color w:val="000000"/>
          <w:sz w:val="12"/>
          <w:szCs w:val="12"/>
          <w:lang w:eastAsia="en-US" w:bidi="en-US"/>
        </w:rPr>
        <w:t>This test has not been FDA cleared or approved; this test has been authorized by FDA under an EUA for use by laboratories certified under CLIA, that meet requirements to perform moderate or high complexity tests.</w:t>
      </w:r>
    </w:p>
    <w:p w14:paraId="5278FEB5" w14:textId="7B919977" w:rsidR="00ED13CA" w:rsidRPr="00B71CE9" w:rsidRDefault="00ED13CA" w:rsidP="00B71CE9">
      <w:pPr>
        <w:pStyle w:val="NormalWeb"/>
        <w:numPr>
          <w:ilvl w:val="0"/>
          <w:numId w:val="1"/>
        </w:numPr>
        <w:snapToGrid w:val="0"/>
        <w:spacing w:before="0" w:beforeAutospacing="0" w:after="0" w:afterAutospacing="0"/>
        <w:ind w:left="187" w:hanging="187"/>
        <w:rPr>
          <w:rFonts w:eastAsia="Arial"/>
          <w:color w:val="000000"/>
          <w:sz w:val="12"/>
          <w:szCs w:val="12"/>
          <w:lang w:eastAsia="en-US" w:bidi="en-US"/>
        </w:rPr>
      </w:pPr>
      <w:r w:rsidRPr="00B71CE9">
        <w:rPr>
          <w:rFonts w:eastAsia="Arial"/>
          <w:color w:val="000000"/>
          <w:sz w:val="12"/>
          <w:szCs w:val="12"/>
          <w:lang w:eastAsia="en-US" w:bidi="en-US"/>
        </w:rPr>
        <w:t>This test has been authorized only for the presence of IgM and IgG antibodies against SARS-CoV-2, not for any other viruses or pathogens. This test is only authorized for the duration of the declaration that circumstances exist justifying the authorization of emergency use of in vitro diagnostic tests for detection and/or diagnosis of COVID-19 under Section 564(b)(1) of the Act, 21 U.S.C. § 360bbb-3(b)(1), unless the authorization is terminated or revoked sooner.</w:t>
      </w:r>
    </w:p>
    <w:p w14:paraId="76C72BDA" w14:textId="25C1FB1F"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 xml:space="preserve">Read the Package Insert prior to use. Directions should be read and followed carefully. </w:t>
      </w:r>
    </w:p>
    <w:p w14:paraId="51EA375D"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Do not use kit or components beyond the expiration date.</w:t>
      </w:r>
    </w:p>
    <w:p w14:paraId="215ADDA7" w14:textId="2CFA18A4"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 xml:space="preserve">The device contains material of animal origin and should be handled as a potential biohazard. Do not use if pouch is damaged or open. </w:t>
      </w:r>
    </w:p>
    <w:p w14:paraId="35F6149A"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Test devices are packaged in foil pouches that exclude moisture during storage. Inspect each foil pouch before opening. Do not use devices that have holes in the foil or where the pouch has not been completely sealed.</w:t>
      </w:r>
      <w:r>
        <w:rPr>
          <w:rFonts w:ascii="Times New Roman" w:hint="eastAsia"/>
          <w:sz w:val="12"/>
          <w:szCs w:val="12"/>
        </w:rPr>
        <w:t xml:space="preserve"> </w:t>
      </w:r>
      <w:r>
        <w:rPr>
          <w:rFonts w:ascii="Times New Roman"/>
          <w:sz w:val="12"/>
          <w:szCs w:val="12"/>
        </w:rPr>
        <w:t>Erroneous result may occur if test reagents or components are improperly stored.</w:t>
      </w:r>
    </w:p>
    <w:p w14:paraId="3C8135FB"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 xml:space="preserve">Do not use the </w:t>
      </w:r>
      <w:r>
        <w:rPr>
          <w:rFonts w:ascii="Times New Roman" w:eastAsia="SimSun" w:hint="eastAsia"/>
          <w:sz w:val="12"/>
          <w:szCs w:val="12"/>
        </w:rPr>
        <w:t>Buffer</w:t>
      </w:r>
      <w:r>
        <w:rPr>
          <w:rFonts w:ascii="Times New Roman"/>
          <w:sz w:val="12"/>
          <w:szCs w:val="12"/>
        </w:rPr>
        <w:t xml:space="preserve"> if it is discolored or turbid. Discoloration or turbidity may be a sign of microbial contamination.</w:t>
      </w:r>
    </w:p>
    <w:p w14:paraId="4400B673"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All patient specimens should be handled and discarded as if they are biologically hazardous. All specimens must be mixed thoroughly before testing to ensure a representative sample prior to testing.</w:t>
      </w:r>
    </w:p>
    <w:p w14:paraId="20F4C7E2" w14:textId="77777777" w:rsidR="00CF06B7" w:rsidRPr="00742504" w:rsidRDefault="00D84484" w:rsidP="00B71CE9">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sidRPr="00B71CE9">
        <w:rPr>
          <w:rFonts w:ascii="Times New Roman"/>
          <w:sz w:val="12"/>
          <w:szCs w:val="12"/>
        </w:rPr>
        <w:t>Failure to bring specimens and reagents to room temperature before testing may decrease assay sensitivity. Inaccurate or inappropriate specimen collection, storage, and transport may yield false negati</w:t>
      </w:r>
      <w:r w:rsidRPr="00742504">
        <w:rPr>
          <w:rFonts w:ascii="Times New Roman"/>
          <w:sz w:val="12"/>
          <w:szCs w:val="12"/>
        </w:rPr>
        <w:t>ve test results.</w:t>
      </w:r>
    </w:p>
    <w:p w14:paraId="69A4EF75"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 xml:space="preserve">Avoid skin contact with buffer containing sodium </w:t>
      </w:r>
      <w:proofErr w:type="spellStart"/>
      <w:r>
        <w:rPr>
          <w:rFonts w:ascii="Times New Roman"/>
          <w:sz w:val="12"/>
          <w:szCs w:val="12"/>
        </w:rPr>
        <w:t>azide</w:t>
      </w:r>
      <w:proofErr w:type="spellEnd"/>
      <w:r>
        <w:rPr>
          <w:rFonts w:ascii="Times New Roman"/>
          <w:sz w:val="12"/>
          <w:szCs w:val="12"/>
        </w:rPr>
        <w:t xml:space="preserve"> which is a skin irritant.</w:t>
      </w:r>
    </w:p>
    <w:p w14:paraId="77834AD8" w14:textId="4DA89009"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 xml:space="preserve">If infection with </w:t>
      </w:r>
      <w:r>
        <w:rPr>
          <w:rFonts w:ascii="Times New Roman" w:eastAsia="SimSun" w:hint="eastAsia"/>
          <w:sz w:val="12"/>
          <w:szCs w:val="12"/>
        </w:rPr>
        <w:t>SARS-CoV-2</w:t>
      </w:r>
      <w:r>
        <w:rPr>
          <w:rFonts w:ascii="Times New Roman"/>
          <w:sz w:val="12"/>
          <w:szCs w:val="12"/>
        </w:rPr>
        <w:t xml:space="preserve"> is suspected based on current clinical and epidemiological screening criteria recommended by public health authorities, specimens should be collected with appropriate infection control precautions and sent to state or local health departments for testing. </w:t>
      </w:r>
    </w:p>
    <w:p w14:paraId="56AA959D" w14:textId="48EB5EFA" w:rsidR="00721993" w:rsidRDefault="00721993">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Humidity and temperature can adversely affect results.</w:t>
      </w:r>
    </w:p>
    <w:p w14:paraId="02DB3D87" w14:textId="77777777" w:rsidR="00CF06B7" w:rsidRDefault="00CF06B7">
      <w:pPr>
        <w:overflowPunct w:val="0"/>
        <w:autoSpaceDE w:val="0"/>
        <w:autoSpaceDN w:val="0"/>
        <w:adjustRightInd w:val="0"/>
        <w:spacing w:line="140" w:lineRule="exact"/>
        <w:textAlignment w:val="baseline"/>
        <w:rPr>
          <w:rFonts w:ascii="Times New Roman" w:eastAsia="SimSun"/>
          <w:sz w:val="12"/>
          <w:szCs w:val="12"/>
          <w:highlight w:val="yellow"/>
        </w:rPr>
      </w:pPr>
    </w:p>
    <w:p w14:paraId="2FD41DAA" w14:textId="77777777" w:rsidR="00CF06B7" w:rsidRDefault="00D84484">
      <w:pPr>
        <w:pStyle w:val="Heading3"/>
        <w:spacing w:line="140" w:lineRule="exact"/>
        <w:rPr>
          <w:rFonts w:eastAsia="SimSun"/>
          <w:color w:val="auto"/>
          <w:szCs w:val="22"/>
        </w:rPr>
      </w:pPr>
      <w:r>
        <w:rPr>
          <w:rFonts w:eastAsia="SimSun" w:hint="eastAsia"/>
          <w:color w:val="auto"/>
          <w:szCs w:val="22"/>
        </w:rPr>
        <w:t>STORAGE AND STABILITY</w:t>
      </w:r>
    </w:p>
    <w:p w14:paraId="7782D062" w14:textId="77777777" w:rsidR="00CF06B7" w:rsidRDefault="00CF06B7">
      <w:pPr>
        <w:tabs>
          <w:tab w:val="left" w:pos="210"/>
        </w:tabs>
        <w:overflowPunct w:val="0"/>
        <w:autoSpaceDE w:val="0"/>
        <w:autoSpaceDN w:val="0"/>
        <w:adjustRightInd w:val="0"/>
        <w:spacing w:line="140" w:lineRule="exact"/>
        <w:textAlignment w:val="baseline"/>
        <w:rPr>
          <w:rFonts w:ascii="Times New Roman"/>
          <w:sz w:val="12"/>
          <w:szCs w:val="12"/>
        </w:rPr>
      </w:pPr>
    </w:p>
    <w:p w14:paraId="70813756" w14:textId="41E23952"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Store the</w:t>
      </w:r>
      <w:r w:rsidR="005855BA">
        <w:rPr>
          <w:rFonts w:ascii="Times New Roman" w:hint="eastAsia"/>
          <w:sz w:val="12"/>
          <w:szCs w:val="12"/>
        </w:rPr>
        <w:t xml:space="preserve"> Assure</w:t>
      </w:r>
      <w:r>
        <w:rPr>
          <w:rFonts w:ascii="Times New Roman"/>
          <w:sz w:val="12"/>
          <w:szCs w:val="12"/>
        </w:rPr>
        <w:t xml:space="preserve"> </w:t>
      </w:r>
      <w:r>
        <w:rPr>
          <w:rFonts w:ascii="Times New Roman" w:eastAsia="SimSun" w:hint="eastAsia"/>
          <w:sz w:val="12"/>
          <w:szCs w:val="12"/>
        </w:rPr>
        <w:t>COVID-19</w:t>
      </w:r>
      <w:r>
        <w:rPr>
          <w:rFonts w:ascii="Times New Roman" w:hint="eastAsia"/>
          <w:sz w:val="12"/>
          <w:szCs w:val="12"/>
        </w:rPr>
        <w:t xml:space="preserve"> IgG/IgM</w:t>
      </w:r>
      <w:r>
        <w:rPr>
          <w:rFonts w:ascii="Times New Roman"/>
          <w:sz w:val="12"/>
          <w:szCs w:val="12"/>
        </w:rPr>
        <w:t xml:space="preserve"> Rapid Test </w:t>
      </w:r>
      <w:r>
        <w:rPr>
          <w:rFonts w:ascii="Times New Roman" w:eastAsia="SimSun" w:hint="eastAsia"/>
          <w:sz w:val="12"/>
          <w:szCs w:val="12"/>
        </w:rPr>
        <w:t>Device</w:t>
      </w:r>
      <w:r>
        <w:rPr>
          <w:rFonts w:ascii="Times New Roman"/>
          <w:sz w:val="12"/>
          <w:szCs w:val="12"/>
        </w:rPr>
        <w:t xml:space="preserve"> at 2~30</w:t>
      </w:r>
      <w:r>
        <w:rPr>
          <w:rFonts w:ascii="Times New Roman" w:hint="eastAsia"/>
          <w:sz w:val="12"/>
          <w:szCs w:val="12"/>
        </w:rPr>
        <w:t>℃</w:t>
      </w:r>
      <w:r>
        <w:rPr>
          <w:rFonts w:ascii="Times New Roman"/>
          <w:sz w:val="12"/>
          <w:szCs w:val="12"/>
        </w:rPr>
        <w:t>when not in use.</w:t>
      </w:r>
    </w:p>
    <w:p w14:paraId="2834C246"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b/>
          <w:sz w:val="12"/>
          <w:szCs w:val="12"/>
        </w:rPr>
        <w:t>DO NOT FREEZE</w:t>
      </w:r>
      <w:r>
        <w:rPr>
          <w:rFonts w:ascii="Times New Roman"/>
          <w:sz w:val="12"/>
          <w:szCs w:val="12"/>
        </w:rPr>
        <w:t xml:space="preserve">. </w:t>
      </w:r>
    </w:p>
    <w:p w14:paraId="0B0DBDCA"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sz w:val="12"/>
          <w:szCs w:val="12"/>
        </w:rPr>
        <w:t>Kit contents are stable until the expiration dates marked on their outer packaging and containers.</w:t>
      </w:r>
    </w:p>
    <w:p w14:paraId="2936B75D" w14:textId="77777777" w:rsidR="00CF06B7" w:rsidRDefault="00D84484">
      <w:pPr>
        <w:numPr>
          <w:ilvl w:val="0"/>
          <w:numId w:val="1"/>
        </w:numPr>
        <w:tabs>
          <w:tab w:val="left" w:pos="210"/>
        </w:tabs>
        <w:overflowPunct w:val="0"/>
        <w:autoSpaceDE w:val="0"/>
        <w:autoSpaceDN w:val="0"/>
        <w:adjustRightInd w:val="0"/>
        <w:spacing w:line="140" w:lineRule="exact"/>
        <w:ind w:left="210" w:hanging="210"/>
        <w:textAlignment w:val="baseline"/>
        <w:rPr>
          <w:rFonts w:ascii="Times New Roman"/>
          <w:sz w:val="12"/>
          <w:szCs w:val="12"/>
        </w:rPr>
      </w:pPr>
      <w:r>
        <w:rPr>
          <w:rFonts w:ascii="Times New Roman" w:eastAsia="Microsoft YaHei"/>
          <w:spacing w:val="-2"/>
          <w:sz w:val="12"/>
          <w:szCs w:val="12"/>
        </w:rPr>
        <w:t xml:space="preserve">Perform testing immediately after specimen collection. Serum and plasma specimens may be stored at 2-8°C for up to </w:t>
      </w:r>
      <w:r>
        <w:rPr>
          <w:rFonts w:ascii="Times New Roman" w:eastAsia="Microsoft YaHei" w:hint="eastAsia"/>
          <w:spacing w:val="-2"/>
          <w:sz w:val="12"/>
          <w:szCs w:val="12"/>
        </w:rPr>
        <w:t>7</w:t>
      </w:r>
      <w:r>
        <w:rPr>
          <w:rFonts w:ascii="Times New Roman" w:eastAsia="Microsoft YaHei"/>
          <w:spacing w:val="-2"/>
          <w:sz w:val="12"/>
          <w:szCs w:val="12"/>
        </w:rPr>
        <w:t xml:space="preserve"> days. For long term storage, serum or plasma specimens should be kept below -20°C. Whole blood collected by venipuncture should be stored at 2-8°C if the test is to be run within </w:t>
      </w:r>
      <w:r>
        <w:rPr>
          <w:rFonts w:ascii="Times New Roman" w:eastAsia="Microsoft YaHei" w:hint="eastAsia"/>
          <w:spacing w:val="-2"/>
          <w:sz w:val="12"/>
          <w:szCs w:val="12"/>
        </w:rPr>
        <w:t>3</w:t>
      </w:r>
      <w:r>
        <w:rPr>
          <w:rFonts w:ascii="Times New Roman" w:eastAsia="Microsoft YaHei"/>
          <w:spacing w:val="-2"/>
          <w:sz w:val="12"/>
          <w:szCs w:val="12"/>
        </w:rPr>
        <w:t xml:space="preserve"> days after collection. Do not freeze whole blood specimens.</w:t>
      </w:r>
    </w:p>
    <w:p w14:paraId="3325417A" w14:textId="49FEF1B9" w:rsidR="00CF06B7" w:rsidRDefault="00D84484">
      <w:pPr>
        <w:numPr>
          <w:ilvl w:val="0"/>
          <w:numId w:val="1"/>
        </w:numPr>
        <w:tabs>
          <w:tab w:val="left" w:pos="210"/>
        </w:tabs>
        <w:overflowPunct w:val="0"/>
        <w:autoSpaceDE w:val="0"/>
        <w:autoSpaceDN w:val="0"/>
        <w:adjustRightInd w:val="0"/>
        <w:spacing w:line="130" w:lineRule="exact"/>
        <w:ind w:left="210" w:hanging="210"/>
        <w:textAlignment w:val="baseline"/>
        <w:rPr>
          <w:rFonts w:ascii="Times New Roman" w:eastAsia="Microsoft YaHei"/>
          <w:spacing w:val="-2"/>
          <w:sz w:val="12"/>
          <w:szCs w:val="12"/>
        </w:rPr>
      </w:pPr>
      <w:r>
        <w:rPr>
          <w:rFonts w:ascii="Times New Roman" w:eastAsia="Microsoft YaHei"/>
          <w:spacing w:val="-2"/>
          <w:sz w:val="12"/>
          <w:szCs w:val="12"/>
        </w:rPr>
        <w:t xml:space="preserve">Containers containing anticoagulants such as </w:t>
      </w:r>
      <w:r w:rsidR="00472EA7">
        <w:rPr>
          <w:rFonts w:ascii="Times New Roman" w:eastAsia="Microsoft YaHei"/>
          <w:spacing w:val="-2"/>
          <w:sz w:val="12"/>
          <w:szCs w:val="12"/>
        </w:rPr>
        <w:t xml:space="preserve">sodium </w:t>
      </w:r>
      <w:r>
        <w:rPr>
          <w:rFonts w:ascii="Times New Roman" w:eastAsia="Microsoft YaHei"/>
          <w:spacing w:val="-2"/>
          <w:sz w:val="12"/>
          <w:szCs w:val="12"/>
        </w:rPr>
        <w:t>EDTA, should be used for whole blood storage.</w:t>
      </w:r>
    </w:p>
    <w:p w14:paraId="374DC53B" w14:textId="77777777" w:rsidR="00CF06B7" w:rsidRDefault="00D84484">
      <w:pPr>
        <w:numPr>
          <w:ilvl w:val="0"/>
          <w:numId w:val="1"/>
        </w:numPr>
        <w:tabs>
          <w:tab w:val="left" w:pos="210"/>
        </w:tabs>
        <w:overflowPunct w:val="0"/>
        <w:autoSpaceDE w:val="0"/>
        <w:autoSpaceDN w:val="0"/>
        <w:adjustRightInd w:val="0"/>
        <w:spacing w:line="130" w:lineRule="exact"/>
        <w:ind w:left="210" w:hanging="210"/>
        <w:textAlignment w:val="baseline"/>
        <w:rPr>
          <w:rFonts w:ascii="Times New Roman" w:eastAsia="Microsoft YaHei"/>
          <w:spacing w:val="-2"/>
          <w:sz w:val="12"/>
          <w:szCs w:val="12"/>
        </w:rPr>
      </w:pPr>
      <w:r>
        <w:rPr>
          <w:rFonts w:ascii="Times New Roman" w:eastAsia="Microsoft YaHei"/>
          <w:spacing w:val="-2"/>
          <w:sz w:val="12"/>
          <w:szCs w:val="12"/>
        </w:rPr>
        <w:t xml:space="preserve">Bring specimens to room temperature prior to testing. Frozen </w:t>
      </w:r>
      <w:r>
        <w:rPr>
          <w:rFonts w:ascii="Times New Roman" w:eastAsia="Microsoft YaHei" w:hint="eastAsia"/>
          <w:spacing w:val="-2"/>
          <w:sz w:val="12"/>
          <w:szCs w:val="12"/>
        </w:rPr>
        <w:t xml:space="preserve">serum or plasma </w:t>
      </w:r>
      <w:r>
        <w:rPr>
          <w:rFonts w:ascii="Times New Roman" w:eastAsia="Microsoft YaHei"/>
          <w:spacing w:val="-2"/>
          <w:sz w:val="12"/>
          <w:szCs w:val="12"/>
        </w:rPr>
        <w:t>specimens must be completely thawed and mixed well prior to testing. Avoid repeated freezing and thawing of specimens.</w:t>
      </w:r>
    </w:p>
    <w:p w14:paraId="3D942F17" w14:textId="77777777" w:rsidR="00CF06B7" w:rsidRDefault="00D84484">
      <w:pPr>
        <w:numPr>
          <w:ilvl w:val="0"/>
          <w:numId w:val="1"/>
        </w:numPr>
        <w:tabs>
          <w:tab w:val="left" w:pos="210"/>
        </w:tabs>
        <w:overflowPunct w:val="0"/>
        <w:autoSpaceDE w:val="0"/>
        <w:autoSpaceDN w:val="0"/>
        <w:adjustRightInd w:val="0"/>
        <w:spacing w:line="130" w:lineRule="exact"/>
        <w:ind w:left="210" w:hanging="210"/>
        <w:textAlignment w:val="baseline"/>
        <w:rPr>
          <w:rFonts w:ascii="Times New Roman" w:eastAsia="Microsoft YaHei"/>
          <w:spacing w:val="-2"/>
          <w:sz w:val="12"/>
          <w:szCs w:val="12"/>
        </w:rPr>
      </w:pPr>
      <w:r>
        <w:rPr>
          <w:rFonts w:ascii="Times New Roman" w:eastAsia="Microsoft YaHei"/>
          <w:spacing w:val="-2"/>
          <w:sz w:val="12"/>
          <w:szCs w:val="12"/>
        </w:rPr>
        <w:t>If specimens are to be shipped, pack them in compliance with all applicable regulations for transportation of etiological agents.</w:t>
      </w:r>
    </w:p>
    <w:p w14:paraId="78DF6A35" w14:textId="77777777" w:rsidR="00CF06B7" w:rsidRDefault="00CF06B7">
      <w:pPr>
        <w:overflowPunct w:val="0"/>
        <w:autoSpaceDE w:val="0"/>
        <w:autoSpaceDN w:val="0"/>
        <w:adjustRightInd w:val="0"/>
        <w:spacing w:line="140" w:lineRule="exact"/>
        <w:ind w:left="210"/>
        <w:textAlignment w:val="baseline"/>
        <w:rPr>
          <w:rFonts w:ascii="Times New Roman"/>
          <w:sz w:val="12"/>
          <w:szCs w:val="12"/>
        </w:rPr>
      </w:pPr>
    </w:p>
    <w:p w14:paraId="2DFA5FD4" w14:textId="77777777" w:rsidR="00CF06B7" w:rsidRPr="00026446" w:rsidRDefault="00D84484">
      <w:pPr>
        <w:pStyle w:val="Heading3"/>
        <w:spacing w:line="140" w:lineRule="exact"/>
        <w:rPr>
          <w:rFonts w:eastAsia="SimSun"/>
          <w:color w:val="auto"/>
          <w:szCs w:val="22"/>
          <w:lang w:val="en-US"/>
        </w:rPr>
      </w:pPr>
      <w:r w:rsidRPr="00026446">
        <w:rPr>
          <w:rFonts w:eastAsia="SimSun" w:hint="eastAsia"/>
          <w:color w:val="auto"/>
          <w:szCs w:val="22"/>
          <w:lang w:val="en-US"/>
        </w:rPr>
        <w:t>TEST</w:t>
      </w:r>
      <w:r w:rsidRPr="00026446">
        <w:rPr>
          <w:rFonts w:eastAsia="SimSun"/>
          <w:color w:val="auto"/>
          <w:szCs w:val="22"/>
          <w:lang w:val="en-US"/>
        </w:rPr>
        <w:t xml:space="preserve"> </w:t>
      </w:r>
      <w:r w:rsidRPr="00026446">
        <w:rPr>
          <w:rFonts w:eastAsia="SimSun" w:hint="eastAsia"/>
          <w:color w:val="auto"/>
          <w:szCs w:val="22"/>
          <w:lang w:val="en-US"/>
        </w:rPr>
        <w:t>PROCEDURE</w:t>
      </w:r>
    </w:p>
    <w:p w14:paraId="793B0322" w14:textId="77777777" w:rsidR="00CF06B7" w:rsidRDefault="00CF06B7">
      <w:pPr>
        <w:overflowPunct w:val="0"/>
        <w:autoSpaceDE w:val="0"/>
        <w:autoSpaceDN w:val="0"/>
        <w:adjustRightInd w:val="0"/>
        <w:spacing w:line="140" w:lineRule="exact"/>
        <w:textAlignment w:val="baseline"/>
        <w:rPr>
          <w:rFonts w:ascii="Times New Roman"/>
          <w:sz w:val="13"/>
          <w:szCs w:val="13"/>
        </w:rPr>
      </w:pPr>
    </w:p>
    <w:p w14:paraId="67F41540" w14:textId="77777777" w:rsidR="00CF06B7" w:rsidRPr="00026446" w:rsidRDefault="00D84484">
      <w:pPr>
        <w:pStyle w:val="BodyText3"/>
        <w:spacing w:after="40" w:line="130" w:lineRule="exact"/>
        <w:rPr>
          <w:rFonts w:eastAsia="SimSun"/>
          <w:color w:val="auto"/>
          <w:sz w:val="12"/>
          <w:szCs w:val="12"/>
          <w:lang w:val="en-US"/>
        </w:rPr>
      </w:pPr>
      <w:r w:rsidRPr="00026446">
        <w:rPr>
          <w:color w:val="auto"/>
          <w:sz w:val="12"/>
          <w:szCs w:val="12"/>
          <w:lang w:val="en-US"/>
        </w:rPr>
        <w:t>Allow the test device, specimen, buffer, and/or controls to reach room temperature (15</w:t>
      </w:r>
      <w:r w:rsidRPr="00026446">
        <w:rPr>
          <w:color w:val="auto"/>
          <w:sz w:val="12"/>
          <w:szCs w:val="12"/>
          <w:lang w:val="en-US"/>
        </w:rPr>
        <w:noBreakHyphen/>
        <w:t>30°C) prior to testing.</w:t>
      </w:r>
    </w:p>
    <w:p w14:paraId="19E039A7" w14:textId="4FB10DD6" w:rsidR="00CF06B7" w:rsidRPr="00026446" w:rsidRDefault="00D84484">
      <w:pPr>
        <w:pStyle w:val="BodyTextIndent2"/>
        <w:numPr>
          <w:ilvl w:val="0"/>
          <w:numId w:val="4"/>
        </w:numPr>
        <w:overflowPunct w:val="0"/>
        <w:autoSpaceDE w:val="0"/>
        <w:autoSpaceDN w:val="0"/>
        <w:adjustRightInd w:val="0"/>
        <w:spacing w:line="130" w:lineRule="exact"/>
        <w:ind w:left="142" w:hanging="142"/>
        <w:textAlignment w:val="baseline"/>
        <w:rPr>
          <w:color w:val="auto"/>
          <w:sz w:val="12"/>
          <w:szCs w:val="12"/>
          <w:lang w:val="en-US"/>
        </w:rPr>
      </w:pPr>
      <w:r w:rsidRPr="00026446">
        <w:rPr>
          <w:color w:val="auto"/>
          <w:sz w:val="12"/>
          <w:szCs w:val="12"/>
          <w:lang w:val="en-US"/>
        </w:rPr>
        <w:t>Bring the pouch to room temperature before opening. Remove the test device from the sealed pouch and use it as soon as possible.</w:t>
      </w:r>
    </w:p>
    <w:p w14:paraId="4A1089BE" w14:textId="77777777" w:rsidR="00CF06B7" w:rsidRPr="00026446" w:rsidRDefault="00D84484">
      <w:pPr>
        <w:pStyle w:val="BodyTextIndent2"/>
        <w:numPr>
          <w:ilvl w:val="0"/>
          <w:numId w:val="4"/>
        </w:numPr>
        <w:overflowPunct w:val="0"/>
        <w:autoSpaceDE w:val="0"/>
        <w:autoSpaceDN w:val="0"/>
        <w:adjustRightInd w:val="0"/>
        <w:spacing w:line="130" w:lineRule="exact"/>
        <w:ind w:left="142" w:hanging="142"/>
        <w:textAlignment w:val="baseline"/>
        <w:rPr>
          <w:b/>
          <w:color w:val="auto"/>
          <w:sz w:val="12"/>
          <w:szCs w:val="12"/>
          <w:lang w:val="en-US"/>
        </w:rPr>
      </w:pPr>
      <w:r w:rsidRPr="00026446">
        <w:rPr>
          <w:color w:val="auto"/>
          <w:sz w:val="12"/>
          <w:szCs w:val="12"/>
          <w:lang w:val="en-US"/>
        </w:rPr>
        <w:t xml:space="preserve">Place the test device on a clean and level surface. </w:t>
      </w:r>
      <w:r w:rsidRPr="00026446">
        <w:rPr>
          <w:rFonts w:eastAsia="SimSun" w:hint="eastAsia"/>
          <w:b/>
          <w:color w:val="auto"/>
          <w:sz w:val="12"/>
          <w:szCs w:val="12"/>
          <w:lang w:val="en-US"/>
        </w:rPr>
        <w:t>Note:</w:t>
      </w:r>
      <w:r w:rsidRPr="00026446">
        <w:rPr>
          <w:rFonts w:eastAsia="SimSun" w:hint="eastAsia"/>
          <w:color w:val="auto"/>
          <w:sz w:val="12"/>
          <w:szCs w:val="12"/>
          <w:lang w:val="en-US"/>
        </w:rPr>
        <w:t xml:space="preserve"> </w:t>
      </w:r>
      <w:r w:rsidRPr="00026446">
        <w:rPr>
          <w:rFonts w:eastAsia="SimSun"/>
          <w:b/>
          <w:color w:val="auto"/>
          <w:sz w:val="12"/>
          <w:szCs w:val="12"/>
          <w:lang w:val="en-US"/>
        </w:rPr>
        <w:t>There should be a blue</w:t>
      </w:r>
      <w:r w:rsidRPr="00026446">
        <w:rPr>
          <w:rFonts w:eastAsia="SimSun" w:hint="eastAsia"/>
          <w:b/>
          <w:color w:val="auto"/>
          <w:sz w:val="12"/>
          <w:szCs w:val="12"/>
          <w:lang w:val="en-US"/>
        </w:rPr>
        <w:t xml:space="preserve"> line</w:t>
      </w:r>
      <w:r w:rsidRPr="00026446">
        <w:rPr>
          <w:rFonts w:eastAsia="SimSun"/>
          <w:b/>
          <w:color w:val="auto"/>
          <w:sz w:val="12"/>
          <w:szCs w:val="12"/>
          <w:lang w:val="en-US"/>
        </w:rPr>
        <w:t xml:space="preserve"> in the control region (next to “C”)</w:t>
      </w:r>
      <w:r w:rsidRPr="00026446">
        <w:rPr>
          <w:rFonts w:eastAsia="SimSun" w:hint="eastAsia"/>
          <w:b/>
          <w:color w:val="auto"/>
          <w:sz w:val="12"/>
          <w:szCs w:val="12"/>
          <w:lang w:val="en-US"/>
        </w:rPr>
        <w:t>, discard the device if there is no blue line.</w:t>
      </w:r>
    </w:p>
    <w:p w14:paraId="77812233" w14:textId="77777777" w:rsidR="00CF06B7" w:rsidRPr="00026446" w:rsidRDefault="00D84484">
      <w:pPr>
        <w:pStyle w:val="BodyTextIndent2"/>
        <w:numPr>
          <w:ilvl w:val="0"/>
          <w:numId w:val="4"/>
        </w:numPr>
        <w:overflowPunct w:val="0"/>
        <w:autoSpaceDE w:val="0"/>
        <w:autoSpaceDN w:val="0"/>
        <w:adjustRightInd w:val="0"/>
        <w:spacing w:line="130" w:lineRule="exact"/>
        <w:ind w:left="142" w:hanging="142"/>
        <w:textAlignment w:val="baseline"/>
        <w:rPr>
          <w:color w:val="auto"/>
          <w:sz w:val="12"/>
          <w:szCs w:val="12"/>
          <w:lang w:val="en-US"/>
        </w:rPr>
      </w:pPr>
      <w:r w:rsidRPr="00026446">
        <w:rPr>
          <w:color w:val="auto"/>
          <w:sz w:val="12"/>
          <w:szCs w:val="12"/>
          <w:lang w:val="en-US"/>
        </w:rPr>
        <w:t>L</w:t>
      </w:r>
      <w:r w:rsidRPr="00026446">
        <w:rPr>
          <w:rFonts w:hint="eastAsia"/>
          <w:color w:val="auto"/>
          <w:sz w:val="12"/>
          <w:szCs w:val="12"/>
          <w:lang w:val="en-US"/>
        </w:rPr>
        <w:t>abel the test with patient or control identification.</w:t>
      </w:r>
    </w:p>
    <w:p w14:paraId="3009F91C" w14:textId="77777777" w:rsidR="00CF06B7" w:rsidRDefault="00D84484">
      <w:pPr>
        <w:pStyle w:val="BodyTextIndent2"/>
        <w:numPr>
          <w:ilvl w:val="0"/>
          <w:numId w:val="4"/>
        </w:numPr>
        <w:overflowPunct w:val="0"/>
        <w:autoSpaceDE w:val="0"/>
        <w:autoSpaceDN w:val="0"/>
        <w:adjustRightInd w:val="0"/>
        <w:spacing w:line="130" w:lineRule="exact"/>
        <w:ind w:left="142" w:hanging="142"/>
        <w:textAlignment w:val="baseline"/>
        <w:rPr>
          <w:color w:val="auto"/>
          <w:sz w:val="12"/>
          <w:szCs w:val="12"/>
        </w:rPr>
      </w:pPr>
      <w:r>
        <w:rPr>
          <w:color w:val="auto"/>
          <w:sz w:val="12"/>
          <w:szCs w:val="12"/>
        </w:rPr>
        <w:t>Add the specimens.</w:t>
      </w:r>
    </w:p>
    <w:p w14:paraId="57CAE844" w14:textId="77777777" w:rsidR="007A64F5" w:rsidRDefault="007A64F5">
      <w:pPr>
        <w:pStyle w:val="BodyText3"/>
        <w:spacing w:after="40" w:line="130" w:lineRule="exact"/>
        <w:ind w:left="144"/>
        <w:jc w:val="left"/>
        <w:rPr>
          <w:b/>
          <w:color w:val="auto"/>
          <w:sz w:val="13"/>
          <w:szCs w:val="13"/>
        </w:rPr>
      </w:pPr>
    </w:p>
    <w:p w14:paraId="09A6874F" w14:textId="0D9A44AD" w:rsidR="00CF06B7" w:rsidRPr="007A64F5" w:rsidRDefault="00D84484">
      <w:pPr>
        <w:pStyle w:val="BodyText3"/>
        <w:spacing w:after="40" w:line="130" w:lineRule="exact"/>
        <w:ind w:left="144"/>
        <w:jc w:val="left"/>
        <w:rPr>
          <w:rFonts w:eastAsia="SimSun"/>
          <w:color w:val="auto"/>
          <w:sz w:val="12"/>
          <w:szCs w:val="12"/>
          <w:lang w:val="en-US"/>
        </w:rPr>
      </w:pPr>
      <w:r w:rsidRPr="007A64F5">
        <w:rPr>
          <w:b/>
          <w:color w:val="auto"/>
          <w:sz w:val="13"/>
          <w:szCs w:val="13"/>
          <w:lang w:val="en-US"/>
        </w:rPr>
        <w:t>For Serum or Plasma Specimens</w:t>
      </w:r>
    </w:p>
    <w:p w14:paraId="54A196E6" w14:textId="619F9144" w:rsidR="00CF06B7" w:rsidRPr="00026446" w:rsidRDefault="00D84484">
      <w:pPr>
        <w:pStyle w:val="BodyTextIndent2"/>
        <w:numPr>
          <w:ilvl w:val="0"/>
          <w:numId w:val="5"/>
        </w:numPr>
        <w:tabs>
          <w:tab w:val="left" w:pos="144"/>
        </w:tabs>
        <w:overflowPunct w:val="0"/>
        <w:autoSpaceDE w:val="0"/>
        <w:autoSpaceDN w:val="0"/>
        <w:adjustRightInd w:val="0"/>
        <w:spacing w:line="130" w:lineRule="exact"/>
        <w:jc w:val="left"/>
        <w:textAlignment w:val="baseline"/>
        <w:rPr>
          <w:color w:val="auto"/>
          <w:sz w:val="12"/>
          <w:szCs w:val="12"/>
          <w:lang w:val="en-US"/>
        </w:rPr>
      </w:pPr>
      <w:r>
        <w:rPr>
          <w:rFonts w:eastAsia="SimSun" w:hint="eastAsia"/>
          <w:color w:val="auto"/>
          <w:sz w:val="12"/>
          <w:szCs w:val="12"/>
          <w:lang w:val="en-US"/>
        </w:rPr>
        <w:t xml:space="preserve">  </w:t>
      </w:r>
      <w:r w:rsidRPr="00026446">
        <w:rPr>
          <w:color w:val="auto"/>
          <w:sz w:val="12"/>
          <w:szCs w:val="12"/>
          <w:lang w:val="en-US"/>
        </w:rPr>
        <w:t xml:space="preserve">Using the provided disposable pipette, draw the specimen up to the Fill Line, and transfer </w:t>
      </w:r>
      <w:r>
        <w:rPr>
          <w:rFonts w:hint="eastAsia"/>
          <w:color w:val="auto"/>
          <w:sz w:val="12"/>
          <w:szCs w:val="12"/>
          <w:lang w:val="en-US"/>
        </w:rPr>
        <w:t xml:space="preserve">all </w:t>
      </w:r>
      <w:r w:rsidRPr="00026446">
        <w:rPr>
          <w:rFonts w:hint="eastAsia"/>
          <w:color w:val="auto"/>
          <w:sz w:val="12"/>
          <w:szCs w:val="12"/>
          <w:lang w:val="en-US"/>
        </w:rPr>
        <w:t>the</w:t>
      </w:r>
      <w:r w:rsidRPr="00026446">
        <w:rPr>
          <w:color w:val="auto"/>
          <w:sz w:val="12"/>
          <w:szCs w:val="12"/>
          <w:lang w:val="en-US"/>
        </w:rPr>
        <w:t xml:space="preserve"> </w:t>
      </w:r>
      <w:r w:rsidRPr="00026446">
        <w:rPr>
          <w:rFonts w:hint="eastAsia"/>
          <w:color w:val="auto"/>
          <w:sz w:val="12"/>
          <w:szCs w:val="12"/>
          <w:lang w:val="en-US"/>
        </w:rPr>
        <w:t>s</w:t>
      </w:r>
      <w:r w:rsidRPr="00026446">
        <w:rPr>
          <w:color w:val="auto"/>
          <w:sz w:val="12"/>
          <w:szCs w:val="12"/>
          <w:lang w:val="en-US"/>
        </w:rPr>
        <w:t>pecimen (appr</w:t>
      </w:r>
      <w:r w:rsidRPr="00026446">
        <w:rPr>
          <w:rFonts w:hint="eastAsia"/>
          <w:color w:val="auto"/>
          <w:sz w:val="12"/>
          <w:szCs w:val="12"/>
          <w:lang w:val="en-US"/>
        </w:rPr>
        <w:t>.</w:t>
      </w:r>
      <w:r w:rsidRPr="00026446">
        <w:rPr>
          <w:color w:val="auto"/>
          <w:sz w:val="12"/>
          <w:szCs w:val="12"/>
          <w:lang w:val="en-US"/>
        </w:rPr>
        <w:t xml:space="preserve"> 5 µL) </w:t>
      </w:r>
      <w:r>
        <w:rPr>
          <w:rFonts w:hint="eastAsia"/>
          <w:color w:val="auto"/>
          <w:sz w:val="12"/>
          <w:szCs w:val="12"/>
          <w:lang w:val="en-US"/>
        </w:rPr>
        <w:t>i</w:t>
      </w:r>
      <w:r w:rsidRPr="00026446">
        <w:rPr>
          <w:rFonts w:hint="eastAsia"/>
          <w:color w:val="auto"/>
          <w:sz w:val="12"/>
          <w:szCs w:val="12"/>
          <w:lang w:val="en-US"/>
        </w:rPr>
        <w:t>n</w:t>
      </w:r>
      <w:r w:rsidRPr="00026446">
        <w:rPr>
          <w:color w:val="auto"/>
          <w:sz w:val="12"/>
          <w:szCs w:val="12"/>
          <w:lang w:val="en-US"/>
        </w:rPr>
        <w:t>to the specimen well</w:t>
      </w:r>
      <w:r w:rsidRPr="00026446">
        <w:rPr>
          <w:rFonts w:hint="eastAsia"/>
          <w:color w:val="auto"/>
          <w:sz w:val="12"/>
          <w:szCs w:val="12"/>
          <w:lang w:val="en-US"/>
        </w:rPr>
        <w:t xml:space="preserve"> </w:t>
      </w:r>
      <w:r w:rsidRPr="00026446">
        <w:rPr>
          <w:color w:val="auto"/>
          <w:sz w:val="12"/>
          <w:szCs w:val="12"/>
          <w:lang w:val="en-US"/>
        </w:rPr>
        <w:t xml:space="preserve">of the test device, then add </w:t>
      </w:r>
      <w:r>
        <w:rPr>
          <w:rFonts w:eastAsia="SimSun" w:hint="eastAsia"/>
          <w:color w:val="auto"/>
          <w:sz w:val="12"/>
          <w:szCs w:val="12"/>
          <w:lang w:val="en-US"/>
        </w:rPr>
        <w:t>2</w:t>
      </w:r>
      <w:r w:rsidRPr="00026446">
        <w:rPr>
          <w:color w:val="auto"/>
          <w:sz w:val="12"/>
          <w:szCs w:val="12"/>
          <w:lang w:val="en-US"/>
        </w:rPr>
        <w:t xml:space="preserve"> drops of buffer and start the timer. </w:t>
      </w:r>
    </w:p>
    <w:p w14:paraId="5626CE0B" w14:textId="77777777"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29BB69B1" w14:textId="649AE8F9" w:rsidR="00CF06B7" w:rsidRPr="00026446" w:rsidRDefault="007A64F5">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r>
        <w:rPr>
          <w:rFonts w:eastAsia="SimSun" w:hint="eastAsia"/>
          <w:noProof/>
          <w:color w:val="auto"/>
          <w:sz w:val="12"/>
          <w:szCs w:val="12"/>
          <w:lang w:val="en-US"/>
        </w:rPr>
        <w:drawing>
          <wp:anchor distT="0" distB="0" distL="114300" distR="114300" simplePos="0" relativeHeight="251678720" behindDoc="0" locked="0" layoutInCell="1" allowOverlap="1" wp14:anchorId="3A17A68E" wp14:editId="645A77C7">
            <wp:simplePos x="0" y="0"/>
            <wp:positionH relativeFrom="column">
              <wp:posOffset>-60960</wp:posOffset>
            </wp:positionH>
            <wp:positionV relativeFrom="paragraph">
              <wp:posOffset>-20320</wp:posOffset>
            </wp:positionV>
            <wp:extent cx="3369945" cy="1213485"/>
            <wp:effectExtent l="0" t="0" r="1270" b="635"/>
            <wp:wrapNone/>
            <wp:docPr id="1" name="图片 2" descr="血清 板子操作图-2020.3.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血清 板子操作图-2020.3.25-02"/>
                    <pic:cNvPicPr>
                      <a:picLocks noChangeAspect="1"/>
                    </pic:cNvPicPr>
                  </pic:nvPicPr>
                  <pic:blipFill>
                    <a:blip r:embed="rId15"/>
                    <a:srcRect t="20927" r="-238" b="3133"/>
                    <a:stretch>
                      <a:fillRect/>
                    </a:stretch>
                  </pic:blipFill>
                  <pic:spPr>
                    <a:xfrm>
                      <a:off x="0" y="0"/>
                      <a:ext cx="3369945"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28225" w14:textId="061D4471"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47D78CEC" w14:textId="7A6B097B"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33461E84" w14:textId="064A1F2E"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240D6D32" w14:textId="228A3655"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3222D654" w14:textId="263E0BA8"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7D853312" w14:textId="77777777"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7A054294" w14:textId="77777777"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36D83083" w14:textId="77777777"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1EC9D81A" w14:textId="77777777"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40740E00" w14:textId="77777777"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3F49E473" w14:textId="77777777"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10CDF070" w14:textId="77777777"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478DB84D" w14:textId="1DEF797E" w:rsidR="00CF06B7" w:rsidRPr="00026446" w:rsidRDefault="00CF06B7">
      <w:pPr>
        <w:pStyle w:val="BodyTextIndent2"/>
        <w:tabs>
          <w:tab w:val="left" w:pos="144"/>
        </w:tabs>
        <w:overflowPunct w:val="0"/>
        <w:autoSpaceDE w:val="0"/>
        <w:autoSpaceDN w:val="0"/>
        <w:adjustRightInd w:val="0"/>
        <w:spacing w:line="130" w:lineRule="exact"/>
        <w:ind w:left="0" w:firstLine="0"/>
        <w:jc w:val="left"/>
        <w:textAlignment w:val="baseline"/>
        <w:rPr>
          <w:color w:val="auto"/>
          <w:sz w:val="12"/>
          <w:szCs w:val="12"/>
          <w:lang w:val="en-US"/>
        </w:rPr>
      </w:pPr>
    </w:p>
    <w:p w14:paraId="62A93171" w14:textId="77777777" w:rsidR="007A64F5" w:rsidRPr="006F48E6" w:rsidRDefault="007A64F5">
      <w:pPr>
        <w:pStyle w:val="BodyText3"/>
        <w:spacing w:after="40" w:line="130" w:lineRule="exact"/>
        <w:ind w:firstLineChars="98" w:firstLine="127"/>
        <w:rPr>
          <w:b/>
          <w:color w:val="auto"/>
          <w:sz w:val="13"/>
          <w:szCs w:val="13"/>
          <w:lang w:val="en-US"/>
        </w:rPr>
      </w:pPr>
    </w:p>
    <w:p w14:paraId="528C5CC8" w14:textId="77777777" w:rsidR="007A64F5" w:rsidRPr="006F48E6" w:rsidRDefault="007A64F5">
      <w:pPr>
        <w:pStyle w:val="BodyText3"/>
        <w:spacing w:after="40" w:line="130" w:lineRule="exact"/>
        <w:ind w:firstLineChars="98" w:firstLine="127"/>
        <w:rPr>
          <w:b/>
          <w:color w:val="auto"/>
          <w:sz w:val="13"/>
          <w:szCs w:val="13"/>
          <w:lang w:val="en-US"/>
        </w:rPr>
      </w:pPr>
    </w:p>
    <w:p w14:paraId="22E443FB" w14:textId="0FDAA8DA" w:rsidR="00CF06B7" w:rsidRPr="007A64F5" w:rsidRDefault="00D84484">
      <w:pPr>
        <w:pStyle w:val="BodyText3"/>
        <w:spacing w:after="40" w:line="130" w:lineRule="exact"/>
        <w:ind w:firstLineChars="98" w:firstLine="127"/>
        <w:rPr>
          <w:rFonts w:eastAsia="Microsoft YaHei"/>
          <w:color w:val="auto"/>
          <w:sz w:val="12"/>
          <w:szCs w:val="12"/>
          <w:lang w:val="en-US"/>
        </w:rPr>
      </w:pPr>
      <w:r w:rsidRPr="007A64F5">
        <w:rPr>
          <w:b/>
          <w:color w:val="auto"/>
          <w:sz w:val="13"/>
          <w:szCs w:val="13"/>
          <w:lang w:val="en-US"/>
        </w:rPr>
        <w:t xml:space="preserve">For </w:t>
      </w:r>
      <w:r>
        <w:rPr>
          <w:rFonts w:eastAsia="SimSun" w:hint="eastAsia"/>
          <w:b/>
          <w:color w:val="auto"/>
          <w:sz w:val="13"/>
          <w:szCs w:val="13"/>
          <w:lang w:val="en-US"/>
        </w:rPr>
        <w:t>V</w:t>
      </w:r>
      <w:r w:rsidRPr="007A64F5">
        <w:rPr>
          <w:rFonts w:hint="eastAsia"/>
          <w:b/>
          <w:color w:val="auto"/>
          <w:sz w:val="13"/>
          <w:szCs w:val="13"/>
          <w:lang w:val="en-US"/>
        </w:rPr>
        <w:t>enous</w:t>
      </w:r>
      <w:r>
        <w:rPr>
          <w:rFonts w:eastAsia="SimSun" w:hint="eastAsia"/>
          <w:b/>
          <w:color w:val="auto"/>
          <w:sz w:val="13"/>
          <w:szCs w:val="13"/>
          <w:lang w:val="en-US"/>
        </w:rPr>
        <w:t xml:space="preserve"> </w:t>
      </w:r>
      <w:r w:rsidRPr="007A64F5">
        <w:rPr>
          <w:rFonts w:eastAsia="SimSun" w:hint="eastAsia"/>
          <w:b/>
          <w:color w:val="auto"/>
          <w:sz w:val="13"/>
          <w:szCs w:val="13"/>
          <w:lang w:val="en-US"/>
        </w:rPr>
        <w:t xml:space="preserve">Whole Blood </w:t>
      </w:r>
      <w:r w:rsidRPr="007A64F5">
        <w:rPr>
          <w:b/>
          <w:color w:val="auto"/>
          <w:sz w:val="13"/>
          <w:szCs w:val="13"/>
          <w:lang w:val="en-US"/>
        </w:rPr>
        <w:t>Specimens</w:t>
      </w:r>
    </w:p>
    <w:p w14:paraId="2A10BE24" w14:textId="77777777" w:rsidR="00CF06B7" w:rsidRPr="00026446" w:rsidRDefault="00D84484">
      <w:pPr>
        <w:pStyle w:val="BodyTextIndent2"/>
        <w:numPr>
          <w:ilvl w:val="0"/>
          <w:numId w:val="6"/>
        </w:numPr>
        <w:tabs>
          <w:tab w:val="left" w:pos="144"/>
        </w:tabs>
        <w:overflowPunct w:val="0"/>
        <w:autoSpaceDE w:val="0"/>
        <w:autoSpaceDN w:val="0"/>
        <w:adjustRightInd w:val="0"/>
        <w:spacing w:line="130" w:lineRule="exact"/>
        <w:textAlignment w:val="baseline"/>
        <w:rPr>
          <w:color w:val="auto"/>
          <w:sz w:val="12"/>
          <w:szCs w:val="12"/>
          <w:lang w:val="en-US"/>
        </w:rPr>
      </w:pPr>
      <w:r>
        <w:rPr>
          <w:rFonts w:eastAsia="SimSun" w:hint="eastAsia"/>
          <w:color w:val="auto"/>
          <w:sz w:val="12"/>
          <w:szCs w:val="12"/>
          <w:lang w:val="en-US"/>
        </w:rPr>
        <w:t xml:space="preserve">  </w:t>
      </w:r>
      <w:r w:rsidRPr="00026446">
        <w:rPr>
          <w:color w:val="auto"/>
          <w:sz w:val="12"/>
          <w:szCs w:val="12"/>
          <w:lang w:val="en-US"/>
        </w:rPr>
        <w:t xml:space="preserve">Using the provided disposable pipette, draw the specimen </w:t>
      </w:r>
      <w:r>
        <w:rPr>
          <w:color w:val="auto"/>
          <w:sz w:val="12"/>
          <w:szCs w:val="12"/>
          <w:lang w:val="en-US"/>
        </w:rPr>
        <w:t>above</w:t>
      </w:r>
      <w:r w:rsidRPr="00026446">
        <w:rPr>
          <w:color w:val="auto"/>
          <w:sz w:val="12"/>
          <w:szCs w:val="12"/>
          <w:lang w:val="en-US"/>
        </w:rPr>
        <w:t xml:space="preserve"> the </w:t>
      </w:r>
      <w:r>
        <w:rPr>
          <w:color w:val="auto"/>
          <w:sz w:val="12"/>
          <w:szCs w:val="12"/>
          <w:lang w:val="en-US"/>
        </w:rPr>
        <w:t>fill line</w:t>
      </w:r>
      <w:r>
        <w:rPr>
          <w:rFonts w:hint="eastAsia"/>
          <w:color w:val="auto"/>
          <w:sz w:val="12"/>
          <w:szCs w:val="12"/>
          <w:lang w:val="en-US"/>
        </w:rPr>
        <w:t xml:space="preserve"> </w:t>
      </w:r>
      <w:r>
        <w:rPr>
          <w:color w:val="auto"/>
          <w:sz w:val="12"/>
          <w:szCs w:val="12"/>
          <w:lang w:val="en-US"/>
        </w:rPr>
        <w:t>(avoid the specimen</w:t>
      </w:r>
      <w:r>
        <w:rPr>
          <w:rFonts w:hint="eastAsia"/>
          <w:color w:val="auto"/>
          <w:sz w:val="12"/>
          <w:szCs w:val="12"/>
          <w:lang w:val="en-US"/>
        </w:rPr>
        <w:t xml:space="preserve"> </w:t>
      </w:r>
      <w:r>
        <w:rPr>
          <w:color w:val="auto"/>
          <w:sz w:val="12"/>
          <w:szCs w:val="12"/>
          <w:lang w:val="en-US"/>
        </w:rPr>
        <w:t>entering the bubble of disposable pipette)</w:t>
      </w:r>
      <w:r w:rsidRPr="00026446">
        <w:rPr>
          <w:color w:val="auto"/>
          <w:sz w:val="12"/>
          <w:szCs w:val="12"/>
          <w:lang w:val="en-US"/>
        </w:rPr>
        <w:t xml:space="preserve"> and transfer </w:t>
      </w:r>
      <w:r>
        <w:rPr>
          <w:color w:val="auto"/>
          <w:sz w:val="12"/>
          <w:szCs w:val="12"/>
          <w:lang w:val="en-US"/>
        </w:rPr>
        <w:t xml:space="preserve">one drop of </w:t>
      </w:r>
      <w:r w:rsidRPr="00026446">
        <w:rPr>
          <w:color w:val="auto"/>
          <w:sz w:val="12"/>
          <w:szCs w:val="12"/>
          <w:lang w:val="en-US"/>
        </w:rPr>
        <w:t xml:space="preserve">the specimen </w:t>
      </w:r>
      <w:r>
        <w:rPr>
          <w:color w:val="auto"/>
          <w:sz w:val="12"/>
          <w:szCs w:val="12"/>
          <w:lang w:val="en-US"/>
        </w:rPr>
        <w:t>i</w:t>
      </w:r>
      <w:r w:rsidRPr="00026446">
        <w:rPr>
          <w:color w:val="auto"/>
          <w:sz w:val="12"/>
          <w:szCs w:val="12"/>
          <w:lang w:val="en-US"/>
        </w:rPr>
        <w:t xml:space="preserve">nto the specimen well of the test device, then add </w:t>
      </w:r>
      <w:r>
        <w:rPr>
          <w:rFonts w:eastAsia="SimSun" w:hint="eastAsia"/>
          <w:color w:val="auto"/>
          <w:sz w:val="12"/>
          <w:szCs w:val="12"/>
          <w:lang w:val="en-US"/>
        </w:rPr>
        <w:t>2</w:t>
      </w:r>
      <w:r w:rsidRPr="00026446">
        <w:rPr>
          <w:color w:val="auto"/>
          <w:sz w:val="12"/>
          <w:szCs w:val="12"/>
          <w:lang w:val="en-US"/>
        </w:rPr>
        <w:t xml:space="preserve"> drops of buffer and start the timer.</w:t>
      </w:r>
    </w:p>
    <w:p w14:paraId="5F5B2944" w14:textId="6613588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474B0CC4" w14:textId="0F381248" w:rsidR="00CF06B7" w:rsidRPr="00026446" w:rsidRDefault="00E63A9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r>
        <w:rPr>
          <w:rFonts w:eastAsia="Microsoft YaHei" w:hint="eastAsia"/>
          <w:noProof/>
          <w:sz w:val="12"/>
          <w:szCs w:val="12"/>
          <w:lang w:val="en-US"/>
        </w:rPr>
        <w:drawing>
          <wp:anchor distT="0" distB="0" distL="114300" distR="114300" simplePos="0" relativeHeight="251683840" behindDoc="0" locked="0" layoutInCell="1" allowOverlap="1" wp14:anchorId="72B6A3B5" wp14:editId="34C54C73">
            <wp:simplePos x="0" y="0"/>
            <wp:positionH relativeFrom="column">
              <wp:posOffset>109220</wp:posOffset>
            </wp:positionH>
            <wp:positionV relativeFrom="paragraph">
              <wp:posOffset>-3175</wp:posOffset>
            </wp:positionV>
            <wp:extent cx="3058160" cy="1145540"/>
            <wp:effectExtent l="0" t="0" r="8890" b="0"/>
            <wp:wrapNone/>
            <wp:docPr id="2" name="图片 3" descr="全血 板子操作图-2020.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全血 板子操作图-2020.3.25-01"/>
                    <pic:cNvPicPr>
                      <a:picLocks noChangeAspect="1"/>
                    </pic:cNvPicPr>
                  </pic:nvPicPr>
                  <pic:blipFill>
                    <a:blip r:embed="rId16"/>
                    <a:srcRect t="21721" r="615"/>
                    <a:stretch>
                      <a:fillRect/>
                    </a:stretch>
                  </pic:blipFill>
                  <pic:spPr>
                    <a:xfrm>
                      <a:off x="0" y="0"/>
                      <a:ext cx="3058160"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586BC"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117E915F" w14:textId="10B09630"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3F9BB065"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52CAE616"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4CE9BA33"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3D99190F"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356328D2"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3821C7FF"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030254F6"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0B82143F"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1E8C0B3C" w14:textId="77777777" w:rsidR="00CF06B7"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10129AB1" w14:textId="77777777" w:rsidR="00E63A97" w:rsidRPr="00026446" w:rsidRDefault="00E63A9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7D97CB3E"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7903F792" w14:textId="77777777" w:rsidR="00CF06B7" w:rsidRPr="00026446" w:rsidRDefault="00CF06B7">
      <w:pPr>
        <w:pStyle w:val="BodyTextIndent2"/>
        <w:tabs>
          <w:tab w:val="left" w:pos="144"/>
        </w:tabs>
        <w:overflowPunct w:val="0"/>
        <w:autoSpaceDE w:val="0"/>
        <w:autoSpaceDN w:val="0"/>
        <w:adjustRightInd w:val="0"/>
        <w:spacing w:line="130" w:lineRule="exact"/>
        <w:ind w:left="0" w:firstLine="0"/>
        <w:textAlignment w:val="baseline"/>
        <w:rPr>
          <w:color w:val="auto"/>
          <w:sz w:val="12"/>
          <w:szCs w:val="12"/>
          <w:lang w:val="en-US"/>
        </w:rPr>
      </w:pPr>
    </w:p>
    <w:p w14:paraId="283D8AC9" w14:textId="77777777" w:rsidR="00CF06B7" w:rsidRDefault="00D84484">
      <w:pPr>
        <w:pStyle w:val="Heading3"/>
        <w:spacing w:line="140" w:lineRule="exact"/>
        <w:rPr>
          <w:rFonts w:eastAsia="SimSun"/>
          <w:color w:val="auto"/>
          <w:szCs w:val="22"/>
        </w:rPr>
      </w:pPr>
      <w:r>
        <w:rPr>
          <w:rFonts w:eastAsia="SimSun" w:hint="eastAsia"/>
          <w:color w:val="auto"/>
          <w:szCs w:val="22"/>
        </w:rPr>
        <w:t>RESULT INTERPRETATION</w:t>
      </w:r>
    </w:p>
    <w:tbl>
      <w:tblPr>
        <w:tblW w:w="5360" w:type="dxa"/>
        <w:jc w:val="center"/>
        <w:tblLayout w:type="fixed"/>
        <w:tblLook w:val="04A0" w:firstRow="1" w:lastRow="0" w:firstColumn="1" w:lastColumn="0" w:noHBand="0" w:noVBand="1"/>
      </w:tblPr>
      <w:tblGrid>
        <w:gridCol w:w="1728"/>
        <w:gridCol w:w="3632"/>
      </w:tblGrid>
      <w:tr w:rsidR="00CB2D43" w14:paraId="4CA38D59" w14:textId="77777777" w:rsidTr="00C123DF">
        <w:trPr>
          <w:jc w:val="center"/>
        </w:trPr>
        <w:tc>
          <w:tcPr>
            <w:tcW w:w="5360" w:type="dxa"/>
            <w:gridSpan w:val="2"/>
            <w:tcMar>
              <w:left w:w="57" w:type="dxa"/>
              <w:right w:w="57" w:type="dxa"/>
            </w:tcMar>
            <w:vAlign w:val="center"/>
          </w:tcPr>
          <w:p w14:paraId="54BF5EC5" w14:textId="6C3DF8EE" w:rsidR="00CB2D43" w:rsidRDefault="00CB2D43">
            <w:pPr>
              <w:spacing w:before="40" w:after="40" w:line="140" w:lineRule="exact"/>
              <w:rPr>
                <w:rFonts w:ascii="Times New Roman"/>
                <w:sz w:val="12"/>
                <w:szCs w:val="12"/>
              </w:rPr>
            </w:pPr>
            <w:r>
              <w:rPr>
                <w:rFonts w:ascii="Times New Roman" w:hint="eastAsia"/>
                <w:b/>
                <w:bCs/>
                <w:sz w:val="12"/>
                <w:szCs w:val="12"/>
              </w:rPr>
              <w:t xml:space="preserve"> For Assure </w:t>
            </w:r>
            <w:r>
              <w:rPr>
                <w:rFonts w:ascii="Times New Roman" w:eastAsia="SimSun" w:hint="eastAsia"/>
                <w:b/>
                <w:bCs/>
                <w:sz w:val="12"/>
                <w:szCs w:val="12"/>
              </w:rPr>
              <w:t>COVID-1</w:t>
            </w:r>
            <w:r>
              <w:rPr>
                <w:rFonts w:ascii="Times New Roman" w:hint="eastAsia"/>
                <w:b/>
                <w:bCs/>
                <w:sz w:val="12"/>
                <w:szCs w:val="12"/>
              </w:rPr>
              <w:t>9 IgG/IgM</w:t>
            </w:r>
            <w:r>
              <w:rPr>
                <w:rFonts w:ascii="Times New Roman" w:eastAsia="SimSun" w:hint="eastAsia"/>
                <w:b/>
                <w:bCs/>
                <w:sz w:val="12"/>
                <w:szCs w:val="12"/>
              </w:rPr>
              <w:t xml:space="preserve"> </w:t>
            </w:r>
            <w:r>
              <w:rPr>
                <w:rFonts w:ascii="Times New Roman" w:hint="eastAsia"/>
                <w:b/>
                <w:bCs/>
                <w:sz w:val="12"/>
                <w:szCs w:val="12"/>
              </w:rPr>
              <w:t>Test</w:t>
            </w:r>
            <w:r>
              <w:rPr>
                <w:rFonts w:ascii="Times New Roman" w:eastAsia="SimSun" w:hint="eastAsia"/>
                <w:b/>
                <w:bCs/>
                <w:sz w:val="12"/>
                <w:szCs w:val="12"/>
              </w:rPr>
              <w:t>:</w:t>
            </w:r>
          </w:p>
        </w:tc>
      </w:tr>
      <w:tr w:rsidR="00CF06B7" w14:paraId="47E94C20" w14:textId="77777777">
        <w:trPr>
          <w:jc w:val="center"/>
        </w:trPr>
        <w:tc>
          <w:tcPr>
            <w:tcW w:w="1728" w:type="dxa"/>
            <w:tcMar>
              <w:left w:w="57" w:type="dxa"/>
              <w:right w:w="57" w:type="dxa"/>
            </w:tcMar>
            <w:vAlign w:val="center"/>
          </w:tcPr>
          <w:p w14:paraId="39726ABF" w14:textId="77777777" w:rsidR="00CF06B7" w:rsidRDefault="00D84484">
            <w:pPr>
              <w:jc w:val="center"/>
              <w:rPr>
                <w:rFonts w:ascii="Times New Roman"/>
                <w:sz w:val="12"/>
                <w:szCs w:val="12"/>
              </w:rPr>
            </w:pPr>
            <w:r>
              <w:rPr>
                <w:rFonts w:ascii="Times New Roman"/>
                <w:noProof/>
                <w:sz w:val="12"/>
                <w:szCs w:val="12"/>
              </w:rPr>
              <w:drawing>
                <wp:inline distT="0" distB="0" distL="0" distR="0" wp14:anchorId="7E76A8DC" wp14:editId="2938FA0F">
                  <wp:extent cx="349885" cy="401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extLst>
                              <a:ext uri="{28A0092B-C50C-407E-A947-70E740481C1C}">
                                <a14:useLocalDpi xmlns:a14="http://schemas.microsoft.com/office/drawing/2010/main" val="0"/>
                              </a:ext>
                            </a:extLst>
                          </a:blip>
                          <a:srcRect l="3452" t="36935" r="88615" b="31158"/>
                          <a:stretch>
                            <a:fillRect/>
                          </a:stretch>
                        </pic:blipFill>
                        <pic:spPr>
                          <a:xfrm>
                            <a:off x="0" y="0"/>
                            <a:ext cx="376362" cy="432287"/>
                          </a:xfrm>
                          <a:prstGeom prst="rect">
                            <a:avLst/>
                          </a:prstGeom>
                          <a:ln>
                            <a:noFill/>
                          </a:ln>
                        </pic:spPr>
                      </pic:pic>
                    </a:graphicData>
                  </a:graphic>
                </wp:inline>
              </w:drawing>
            </w:r>
          </w:p>
        </w:tc>
        <w:tc>
          <w:tcPr>
            <w:tcW w:w="3632" w:type="dxa"/>
            <w:tcMar>
              <w:left w:w="57" w:type="dxa"/>
              <w:right w:w="57" w:type="dxa"/>
            </w:tcMar>
          </w:tcPr>
          <w:p w14:paraId="7575EBF0" w14:textId="77777777" w:rsidR="00CF06B7" w:rsidRDefault="00D84484">
            <w:pPr>
              <w:spacing w:before="120" w:after="40" w:line="130" w:lineRule="exact"/>
              <w:rPr>
                <w:rFonts w:ascii="Times New Roman"/>
                <w:sz w:val="12"/>
                <w:szCs w:val="12"/>
              </w:rPr>
            </w:pPr>
            <w:r>
              <w:rPr>
                <w:rFonts w:ascii="Times New Roman" w:hint="eastAsia"/>
                <w:b/>
                <w:sz w:val="12"/>
                <w:szCs w:val="12"/>
              </w:rPr>
              <w:t xml:space="preserve">IgM </w:t>
            </w:r>
            <w:r>
              <w:rPr>
                <w:rFonts w:ascii="Times New Roman"/>
                <w:b/>
                <w:sz w:val="12"/>
                <w:szCs w:val="12"/>
              </w:rPr>
              <w:t>and</w:t>
            </w:r>
            <w:r>
              <w:rPr>
                <w:rFonts w:ascii="Times New Roman" w:hint="eastAsia"/>
                <w:b/>
                <w:sz w:val="12"/>
                <w:szCs w:val="12"/>
              </w:rPr>
              <w:t xml:space="preserve"> IgG </w:t>
            </w:r>
            <w:proofErr w:type="gramStart"/>
            <w:r>
              <w:rPr>
                <w:rFonts w:ascii="Times New Roman"/>
                <w:b/>
                <w:sz w:val="12"/>
                <w:szCs w:val="12"/>
              </w:rPr>
              <w:t>P</w:t>
            </w:r>
            <w:r>
              <w:rPr>
                <w:rFonts w:ascii="Times New Roman" w:hint="eastAsia"/>
                <w:b/>
                <w:sz w:val="12"/>
                <w:szCs w:val="12"/>
              </w:rPr>
              <w:t>ositive</w:t>
            </w:r>
            <w:r>
              <w:rPr>
                <w:rFonts w:ascii="Times New Roman"/>
                <w:b/>
                <w:sz w:val="12"/>
                <w:szCs w:val="12"/>
              </w:rPr>
              <w:t>:*</w:t>
            </w:r>
            <w:proofErr w:type="gramEnd"/>
            <w:r>
              <w:rPr>
                <w:rFonts w:ascii="Times New Roman" w:hint="eastAsia"/>
                <w:sz w:val="12"/>
                <w:szCs w:val="12"/>
              </w:rPr>
              <w:t xml:space="preserve">The </w:t>
            </w:r>
            <w:r>
              <w:rPr>
                <w:rFonts w:ascii="Times New Roman"/>
                <w:sz w:val="12"/>
                <w:szCs w:val="12"/>
              </w:rPr>
              <w:t>colored line in the control region (C)</w:t>
            </w:r>
            <w:r>
              <w:rPr>
                <w:rFonts w:ascii="Times New Roman" w:hint="eastAsia"/>
                <w:sz w:val="12"/>
                <w:szCs w:val="12"/>
              </w:rPr>
              <w:t xml:space="preserve"> change</w:t>
            </w:r>
            <w:r>
              <w:rPr>
                <w:rFonts w:ascii="Times New Roman"/>
                <w:sz w:val="12"/>
                <w:szCs w:val="12"/>
              </w:rPr>
              <w:t>s</w:t>
            </w:r>
            <w:r>
              <w:rPr>
                <w:rFonts w:ascii="Times New Roman" w:hint="eastAsia"/>
                <w:sz w:val="12"/>
                <w:szCs w:val="12"/>
              </w:rPr>
              <w:t xml:space="preserve"> </w:t>
            </w:r>
            <w:r>
              <w:rPr>
                <w:rFonts w:ascii="Times New Roman"/>
                <w:sz w:val="12"/>
                <w:szCs w:val="12"/>
              </w:rPr>
              <w:t>from blue to red</w:t>
            </w:r>
            <w:r>
              <w:rPr>
                <w:rFonts w:ascii="Times New Roman" w:hint="eastAsia"/>
                <w:sz w:val="12"/>
                <w:szCs w:val="12"/>
              </w:rPr>
              <w:t xml:space="preserve">, and two colored lines should appear in IgG and IgM test regions. </w:t>
            </w:r>
            <w:r>
              <w:rPr>
                <w:rFonts w:ascii="Times New Roman"/>
                <w:sz w:val="12"/>
                <w:szCs w:val="12"/>
              </w:rPr>
              <w:t>The color intensities of the lines do not have to match.</w:t>
            </w:r>
            <w:r>
              <w:rPr>
                <w:rFonts w:ascii="Times New Roman" w:hint="eastAsia"/>
                <w:sz w:val="12"/>
                <w:szCs w:val="12"/>
              </w:rPr>
              <w:t xml:space="preserve"> The result is positive for IgM and IgG antibodies.</w:t>
            </w:r>
          </w:p>
        </w:tc>
      </w:tr>
      <w:tr w:rsidR="00CF06B7" w14:paraId="109B7145" w14:textId="77777777">
        <w:trPr>
          <w:trHeight w:val="386"/>
          <w:jc w:val="center"/>
        </w:trPr>
        <w:tc>
          <w:tcPr>
            <w:tcW w:w="1728" w:type="dxa"/>
            <w:tcMar>
              <w:top w:w="57" w:type="dxa"/>
              <w:left w:w="57" w:type="dxa"/>
              <w:right w:w="57" w:type="dxa"/>
            </w:tcMar>
            <w:vAlign w:val="center"/>
          </w:tcPr>
          <w:p w14:paraId="5C1A3DDE" w14:textId="77777777" w:rsidR="00CF06B7" w:rsidRDefault="00D84484">
            <w:pPr>
              <w:jc w:val="center"/>
              <w:rPr>
                <w:rFonts w:ascii="Times New Roman" w:eastAsia="SimSun"/>
                <w:sz w:val="12"/>
                <w:szCs w:val="12"/>
              </w:rPr>
            </w:pPr>
            <w:r>
              <w:rPr>
                <w:rFonts w:ascii="Times New Roman" w:eastAsia="SimSun"/>
                <w:noProof/>
                <w:sz w:val="12"/>
                <w:szCs w:val="12"/>
              </w:rPr>
              <w:drawing>
                <wp:inline distT="0" distB="0" distL="0" distR="0" wp14:anchorId="09DDC7ED" wp14:editId="1C4B8499">
                  <wp:extent cx="382270" cy="3994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print">
                            <a:extLst>
                              <a:ext uri="{28A0092B-C50C-407E-A947-70E740481C1C}">
                                <a14:useLocalDpi xmlns:a14="http://schemas.microsoft.com/office/drawing/2010/main" val="0"/>
                              </a:ext>
                            </a:extLst>
                          </a:blip>
                          <a:srcRect l="46509" t="36757" r="44649" b="30910"/>
                          <a:stretch>
                            <a:fillRect/>
                          </a:stretch>
                        </pic:blipFill>
                        <pic:spPr>
                          <a:xfrm>
                            <a:off x="0" y="0"/>
                            <a:ext cx="393625" cy="411088"/>
                          </a:xfrm>
                          <a:prstGeom prst="rect">
                            <a:avLst/>
                          </a:prstGeom>
                          <a:ln>
                            <a:noFill/>
                          </a:ln>
                        </pic:spPr>
                      </pic:pic>
                    </a:graphicData>
                  </a:graphic>
                </wp:inline>
              </w:drawing>
            </w:r>
          </w:p>
        </w:tc>
        <w:tc>
          <w:tcPr>
            <w:tcW w:w="3632" w:type="dxa"/>
            <w:tcMar>
              <w:left w:w="57" w:type="dxa"/>
              <w:right w:w="57" w:type="dxa"/>
            </w:tcMar>
          </w:tcPr>
          <w:p w14:paraId="75C44A1B" w14:textId="77777777" w:rsidR="00CF06B7" w:rsidRDefault="00CF06B7">
            <w:pPr>
              <w:spacing w:after="40" w:line="130" w:lineRule="exact"/>
              <w:rPr>
                <w:rFonts w:ascii="Times New Roman"/>
                <w:b/>
                <w:sz w:val="12"/>
                <w:szCs w:val="12"/>
              </w:rPr>
            </w:pPr>
          </w:p>
          <w:p w14:paraId="065BF38F" w14:textId="77777777" w:rsidR="00CF06B7" w:rsidRDefault="00D84484">
            <w:pPr>
              <w:spacing w:after="40" w:line="130" w:lineRule="exact"/>
              <w:rPr>
                <w:rFonts w:ascii="Times New Roman"/>
                <w:sz w:val="12"/>
                <w:szCs w:val="12"/>
              </w:rPr>
            </w:pPr>
            <w:r>
              <w:rPr>
                <w:rFonts w:ascii="Times New Roman"/>
                <w:b/>
                <w:sz w:val="12"/>
                <w:szCs w:val="12"/>
              </w:rPr>
              <w:t>Ig</w:t>
            </w:r>
            <w:r>
              <w:rPr>
                <w:rFonts w:ascii="Times New Roman" w:hint="eastAsia"/>
                <w:b/>
                <w:sz w:val="12"/>
                <w:szCs w:val="12"/>
              </w:rPr>
              <w:t>G</w:t>
            </w:r>
            <w:r>
              <w:rPr>
                <w:rFonts w:ascii="Times New Roman"/>
                <w:b/>
                <w:sz w:val="12"/>
                <w:szCs w:val="12"/>
              </w:rPr>
              <w:t xml:space="preserve"> </w:t>
            </w:r>
            <w:proofErr w:type="gramStart"/>
            <w:r>
              <w:rPr>
                <w:rFonts w:ascii="Times New Roman"/>
                <w:b/>
                <w:sz w:val="12"/>
                <w:szCs w:val="12"/>
              </w:rPr>
              <w:t>P</w:t>
            </w:r>
            <w:r>
              <w:rPr>
                <w:rFonts w:ascii="Times New Roman" w:hint="eastAsia"/>
                <w:b/>
                <w:sz w:val="12"/>
                <w:szCs w:val="12"/>
              </w:rPr>
              <w:t>ositive</w:t>
            </w:r>
            <w:r>
              <w:rPr>
                <w:rFonts w:ascii="Times New Roman"/>
                <w:b/>
                <w:sz w:val="12"/>
                <w:szCs w:val="12"/>
              </w:rPr>
              <w:t>:*</w:t>
            </w:r>
            <w:proofErr w:type="gramEnd"/>
            <w:r>
              <w:rPr>
                <w:rFonts w:ascii="Times New Roman" w:hint="eastAsia"/>
                <w:sz w:val="12"/>
                <w:szCs w:val="12"/>
              </w:rPr>
              <w:t xml:space="preserve">The </w:t>
            </w:r>
            <w:r>
              <w:rPr>
                <w:rFonts w:ascii="Times New Roman"/>
                <w:sz w:val="12"/>
                <w:szCs w:val="12"/>
              </w:rPr>
              <w:t xml:space="preserve">colored line in the control region (C) changes from blue to red, and a colored line appears in the IgG </w:t>
            </w:r>
            <w:r>
              <w:rPr>
                <w:rFonts w:ascii="Times New Roman" w:hint="eastAsia"/>
                <w:sz w:val="12"/>
                <w:szCs w:val="12"/>
              </w:rPr>
              <w:t xml:space="preserve">test </w:t>
            </w:r>
            <w:r>
              <w:rPr>
                <w:rFonts w:ascii="Times New Roman"/>
                <w:sz w:val="12"/>
                <w:szCs w:val="12"/>
              </w:rPr>
              <w:t xml:space="preserve">region. The result is positive for </w:t>
            </w:r>
            <w:r>
              <w:rPr>
                <w:rFonts w:ascii="Times New Roman" w:eastAsia="SimSun" w:hint="eastAsia"/>
                <w:sz w:val="12"/>
                <w:szCs w:val="12"/>
              </w:rPr>
              <w:t>COVID-1</w:t>
            </w:r>
            <w:r>
              <w:rPr>
                <w:rFonts w:ascii="Times New Roman" w:hint="eastAsia"/>
                <w:sz w:val="12"/>
                <w:szCs w:val="12"/>
              </w:rPr>
              <w:t>9</w:t>
            </w:r>
            <w:r>
              <w:rPr>
                <w:rFonts w:ascii="Times New Roman" w:eastAsia="SimSun" w:hint="eastAsia"/>
                <w:sz w:val="12"/>
                <w:szCs w:val="12"/>
              </w:rPr>
              <w:t xml:space="preserve"> </w:t>
            </w:r>
            <w:r>
              <w:rPr>
                <w:rFonts w:ascii="Times New Roman"/>
                <w:sz w:val="12"/>
                <w:szCs w:val="12"/>
              </w:rPr>
              <w:t>virus specific-Ig</w:t>
            </w:r>
            <w:r>
              <w:rPr>
                <w:rFonts w:ascii="Times New Roman" w:eastAsia="SimSun"/>
                <w:sz w:val="12"/>
                <w:szCs w:val="12"/>
              </w:rPr>
              <w:t xml:space="preserve">G </w:t>
            </w:r>
            <w:r>
              <w:rPr>
                <w:rFonts w:ascii="Times New Roman"/>
                <w:sz w:val="12"/>
                <w:szCs w:val="12"/>
              </w:rPr>
              <w:t>antibodies.</w:t>
            </w:r>
          </w:p>
        </w:tc>
      </w:tr>
      <w:tr w:rsidR="00CF06B7" w14:paraId="45CF65A8" w14:textId="77777777">
        <w:trPr>
          <w:jc w:val="center"/>
        </w:trPr>
        <w:tc>
          <w:tcPr>
            <w:tcW w:w="1728" w:type="dxa"/>
            <w:tcMar>
              <w:left w:w="57" w:type="dxa"/>
              <w:right w:w="57" w:type="dxa"/>
            </w:tcMar>
            <w:vAlign w:val="center"/>
          </w:tcPr>
          <w:p w14:paraId="36552003" w14:textId="77777777" w:rsidR="00CF06B7" w:rsidRDefault="00D84484">
            <w:pPr>
              <w:jc w:val="center"/>
              <w:rPr>
                <w:rFonts w:ascii="Times New Roman"/>
                <w:sz w:val="12"/>
                <w:szCs w:val="12"/>
              </w:rPr>
            </w:pPr>
            <w:r>
              <w:rPr>
                <w:rFonts w:ascii="Times New Roman"/>
                <w:noProof/>
                <w:sz w:val="12"/>
                <w:szCs w:val="12"/>
              </w:rPr>
              <w:drawing>
                <wp:inline distT="0" distB="0" distL="0" distR="0" wp14:anchorId="182AAF96" wp14:editId="389EC457">
                  <wp:extent cx="358140" cy="40322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extLst>
                              <a:ext uri="{28A0092B-C50C-407E-A947-70E740481C1C}">
                                <a14:useLocalDpi xmlns:a14="http://schemas.microsoft.com/office/drawing/2010/main" val="0"/>
                              </a:ext>
                            </a:extLst>
                          </a:blip>
                          <a:srcRect l="22724" t="38279" r="68917" b="28788"/>
                          <a:stretch>
                            <a:fillRect/>
                          </a:stretch>
                        </pic:blipFill>
                        <pic:spPr>
                          <a:xfrm>
                            <a:off x="0" y="0"/>
                            <a:ext cx="382181" cy="430097"/>
                          </a:xfrm>
                          <a:prstGeom prst="rect">
                            <a:avLst/>
                          </a:prstGeom>
                          <a:ln>
                            <a:noFill/>
                          </a:ln>
                        </pic:spPr>
                      </pic:pic>
                    </a:graphicData>
                  </a:graphic>
                </wp:inline>
              </w:drawing>
            </w:r>
          </w:p>
        </w:tc>
        <w:tc>
          <w:tcPr>
            <w:tcW w:w="3632" w:type="dxa"/>
            <w:tcMar>
              <w:left w:w="57" w:type="dxa"/>
              <w:right w:w="57" w:type="dxa"/>
            </w:tcMar>
          </w:tcPr>
          <w:p w14:paraId="7AB9D28D" w14:textId="77777777" w:rsidR="00CF06B7" w:rsidRDefault="00D84484">
            <w:pPr>
              <w:spacing w:before="120" w:after="40" w:line="130" w:lineRule="exact"/>
              <w:rPr>
                <w:rFonts w:ascii="Times New Roman"/>
                <w:sz w:val="12"/>
                <w:szCs w:val="12"/>
              </w:rPr>
            </w:pPr>
            <w:r>
              <w:rPr>
                <w:rFonts w:ascii="Times New Roman" w:hint="eastAsia"/>
                <w:b/>
                <w:sz w:val="12"/>
                <w:szCs w:val="12"/>
              </w:rPr>
              <w:t xml:space="preserve">IgM </w:t>
            </w:r>
            <w:proofErr w:type="gramStart"/>
            <w:r>
              <w:rPr>
                <w:rFonts w:ascii="Times New Roman"/>
                <w:b/>
                <w:sz w:val="12"/>
                <w:szCs w:val="12"/>
              </w:rPr>
              <w:t>P</w:t>
            </w:r>
            <w:r>
              <w:rPr>
                <w:rFonts w:ascii="Times New Roman" w:hint="eastAsia"/>
                <w:b/>
                <w:sz w:val="12"/>
                <w:szCs w:val="12"/>
              </w:rPr>
              <w:t>ositive</w:t>
            </w:r>
            <w:r>
              <w:rPr>
                <w:rFonts w:ascii="Times New Roman"/>
                <w:b/>
                <w:sz w:val="12"/>
                <w:szCs w:val="12"/>
              </w:rPr>
              <w:t>:*</w:t>
            </w:r>
            <w:proofErr w:type="gramEnd"/>
            <w:r>
              <w:rPr>
                <w:rFonts w:ascii="Times New Roman" w:hint="eastAsia"/>
                <w:sz w:val="12"/>
                <w:szCs w:val="12"/>
              </w:rPr>
              <w:t xml:space="preserve">The </w:t>
            </w:r>
            <w:r>
              <w:rPr>
                <w:rFonts w:ascii="Times New Roman"/>
                <w:sz w:val="12"/>
                <w:szCs w:val="12"/>
              </w:rPr>
              <w:t>colored line in the control region (C)</w:t>
            </w:r>
            <w:r>
              <w:rPr>
                <w:rFonts w:ascii="Times New Roman" w:hint="eastAsia"/>
                <w:sz w:val="12"/>
                <w:szCs w:val="12"/>
              </w:rPr>
              <w:t xml:space="preserve"> change</w:t>
            </w:r>
            <w:r>
              <w:rPr>
                <w:rFonts w:ascii="Times New Roman"/>
                <w:sz w:val="12"/>
                <w:szCs w:val="12"/>
              </w:rPr>
              <w:t>s</w:t>
            </w:r>
            <w:r>
              <w:rPr>
                <w:rFonts w:ascii="Times New Roman" w:hint="eastAsia"/>
                <w:sz w:val="12"/>
                <w:szCs w:val="12"/>
              </w:rPr>
              <w:t xml:space="preserve"> </w:t>
            </w:r>
            <w:r>
              <w:rPr>
                <w:rFonts w:ascii="Times New Roman"/>
                <w:sz w:val="12"/>
                <w:szCs w:val="12"/>
              </w:rPr>
              <w:t>from blue to red</w:t>
            </w:r>
            <w:r>
              <w:rPr>
                <w:rFonts w:ascii="Times New Roman" w:hint="eastAsia"/>
                <w:sz w:val="12"/>
                <w:szCs w:val="12"/>
              </w:rPr>
              <w:t>, and a colored line appear</w:t>
            </w:r>
            <w:r>
              <w:rPr>
                <w:rFonts w:ascii="Times New Roman"/>
                <w:sz w:val="12"/>
                <w:szCs w:val="12"/>
              </w:rPr>
              <w:t>s</w:t>
            </w:r>
            <w:r>
              <w:rPr>
                <w:rFonts w:ascii="Times New Roman" w:hint="eastAsia"/>
                <w:sz w:val="12"/>
                <w:szCs w:val="12"/>
              </w:rPr>
              <w:t xml:space="preserve"> in the IgM test region. The result is positive for </w:t>
            </w:r>
            <w:r>
              <w:rPr>
                <w:rFonts w:ascii="Times New Roman" w:eastAsia="SimSun" w:hint="eastAsia"/>
                <w:sz w:val="12"/>
                <w:szCs w:val="12"/>
              </w:rPr>
              <w:t>COVID-1</w:t>
            </w:r>
            <w:r>
              <w:rPr>
                <w:rFonts w:ascii="Times New Roman" w:hint="eastAsia"/>
                <w:sz w:val="12"/>
                <w:szCs w:val="12"/>
              </w:rPr>
              <w:t>9</w:t>
            </w:r>
            <w:r>
              <w:rPr>
                <w:rFonts w:ascii="Times New Roman"/>
                <w:sz w:val="12"/>
                <w:szCs w:val="12"/>
              </w:rPr>
              <w:t xml:space="preserve"> virus specific-Ig</w:t>
            </w:r>
            <w:r>
              <w:rPr>
                <w:rFonts w:ascii="Times New Roman" w:eastAsia="SimSun"/>
                <w:sz w:val="12"/>
                <w:szCs w:val="12"/>
              </w:rPr>
              <w:t>M</w:t>
            </w:r>
            <w:r>
              <w:rPr>
                <w:rFonts w:ascii="Times New Roman" w:hint="eastAsia"/>
                <w:sz w:val="12"/>
                <w:szCs w:val="12"/>
              </w:rPr>
              <w:t xml:space="preserve"> antibodies.</w:t>
            </w:r>
          </w:p>
        </w:tc>
      </w:tr>
      <w:tr w:rsidR="00CF06B7" w14:paraId="449730E6" w14:textId="77777777">
        <w:trPr>
          <w:trHeight w:val="589"/>
          <w:jc w:val="center"/>
        </w:trPr>
        <w:tc>
          <w:tcPr>
            <w:tcW w:w="1728" w:type="dxa"/>
            <w:tcMar>
              <w:left w:w="57" w:type="dxa"/>
              <w:right w:w="57" w:type="dxa"/>
            </w:tcMar>
            <w:vAlign w:val="center"/>
          </w:tcPr>
          <w:p w14:paraId="407BB061" w14:textId="77777777" w:rsidR="00CF06B7" w:rsidRDefault="00D84484">
            <w:pPr>
              <w:jc w:val="center"/>
              <w:rPr>
                <w:rFonts w:ascii="Times New Roman"/>
                <w:sz w:val="12"/>
                <w:szCs w:val="12"/>
              </w:rPr>
            </w:pPr>
            <w:r>
              <w:rPr>
                <w:rFonts w:ascii="Times New Roman"/>
                <w:noProof/>
                <w:sz w:val="12"/>
                <w:szCs w:val="12"/>
              </w:rPr>
              <w:drawing>
                <wp:inline distT="0" distB="0" distL="0" distR="0" wp14:anchorId="3DDF15F2" wp14:editId="3259C4AC">
                  <wp:extent cx="365125" cy="4216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cstate="print">
                            <a:extLst>
                              <a:ext uri="{28A0092B-C50C-407E-A947-70E740481C1C}">
                                <a14:useLocalDpi xmlns:a14="http://schemas.microsoft.com/office/drawing/2010/main" val="0"/>
                              </a:ext>
                            </a:extLst>
                          </a:blip>
                          <a:srcRect l="63131" t="35051" r="28448" b="30882"/>
                          <a:stretch>
                            <a:fillRect/>
                          </a:stretch>
                        </pic:blipFill>
                        <pic:spPr>
                          <a:xfrm>
                            <a:off x="0" y="0"/>
                            <a:ext cx="385793" cy="445743"/>
                          </a:xfrm>
                          <a:prstGeom prst="rect">
                            <a:avLst/>
                          </a:prstGeom>
                          <a:ln>
                            <a:noFill/>
                          </a:ln>
                        </pic:spPr>
                      </pic:pic>
                    </a:graphicData>
                  </a:graphic>
                </wp:inline>
              </w:drawing>
            </w:r>
          </w:p>
        </w:tc>
        <w:tc>
          <w:tcPr>
            <w:tcW w:w="3632" w:type="dxa"/>
            <w:tcMar>
              <w:left w:w="57" w:type="dxa"/>
              <w:right w:w="57" w:type="dxa"/>
            </w:tcMar>
          </w:tcPr>
          <w:p w14:paraId="642A449D" w14:textId="77777777" w:rsidR="00CF06B7" w:rsidRDefault="00D84484">
            <w:pPr>
              <w:spacing w:before="120" w:after="40" w:line="140" w:lineRule="exact"/>
              <w:rPr>
                <w:rFonts w:ascii="Times New Roman" w:eastAsia="??¨¬?"/>
                <w:sz w:val="12"/>
                <w:szCs w:val="12"/>
              </w:rPr>
            </w:pPr>
            <w:r>
              <w:rPr>
                <w:rFonts w:ascii="Times New Roman" w:eastAsia="??¨¬?"/>
                <w:b/>
                <w:sz w:val="12"/>
                <w:szCs w:val="12"/>
              </w:rPr>
              <w:t>N</w:t>
            </w:r>
            <w:r>
              <w:rPr>
                <w:rFonts w:ascii="Times New Roman" w:eastAsia="??¨¬?" w:hint="eastAsia"/>
                <w:b/>
                <w:sz w:val="12"/>
                <w:szCs w:val="12"/>
              </w:rPr>
              <w:t>egative</w:t>
            </w:r>
            <w:r>
              <w:rPr>
                <w:rFonts w:ascii="Times New Roman" w:eastAsia="??¨¬?"/>
                <w:sz w:val="12"/>
                <w:szCs w:val="12"/>
              </w:rPr>
              <w:t xml:space="preserve">: </w:t>
            </w:r>
            <w:r>
              <w:rPr>
                <w:rFonts w:ascii="Times New Roman" w:eastAsia="??¨¬?" w:hint="eastAsia"/>
                <w:sz w:val="12"/>
                <w:szCs w:val="12"/>
              </w:rPr>
              <w:t>The colored</w:t>
            </w:r>
            <w:r>
              <w:rPr>
                <w:rFonts w:ascii="Times New Roman" w:eastAsia="??¨¬?"/>
                <w:sz w:val="12"/>
                <w:szCs w:val="12"/>
              </w:rPr>
              <w:t xml:space="preserve"> line in the control region (C) changes from blue to red. No line appears in</w:t>
            </w:r>
            <w:r>
              <w:rPr>
                <w:rFonts w:ascii="Times New Roman" w:eastAsia="??¨¬?" w:hint="eastAsia"/>
                <w:sz w:val="12"/>
                <w:szCs w:val="12"/>
              </w:rPr>
              <w:t xml:space="preserve"> IgM</w:t>
            </w:r>
            <w:r>
              <w:rPr>
                <w:rFonts w:ascii="Times New Roman" w:eastAsia="??¨¬?"/>
                <w:sz w:val="12"/>
                <w:szCs w:val="12"/>
              </w:rPr>
              <w:t xml:space="preserve"> or </w:t>
            </w:r>
            <w:r>
              <w:rPr>
                <w:rFonts w:ascii="Times New Roman" w:eastAsia="??¨¬?" w:hint="eastAsia"/>
                <w:sz w:val="12"/>
                <w:szCs w:val="12"/>
              </w:rPr>
              <w:t>IgG</w:t>
            </w:r>
            <w:r>
              <w:rPr>
                <w:rFonts w:ascii="Times New Roman" w:eastAsia="??¨¬?"/>
                <w:sz w:val="12"/>
                <w:szCs w:val="12"/>
              </w:rPr>
              <w:t xml:space="preserve"> test region</w:t>
            </w:r>
            <w:r>
              <w:rPr>
                <w:rFonts w:ascii="Times New Roman" w:eastAsia="??¨¬?" w:hint="eastAsia"/>
                <w:sz w:val="12"/>
                <w:szCs w:val="12"/>
              </w:rPr>
              <w:t>s</w:t>
            </w:r>
            <w:r>
              <w:rPr>
                <w:rFonts w:ascii="Times New Roman" w:eastAsia="??¨¬?"/>
                <w:sz w:val="12"/>
                <w:szCs w:val="12"/>
              </w:rPr>
              <w:t>.</w:t>
            </w:r>
          </w:p>
        </w:tc>
      </w:tr>
      <w:tr w:rsidR="00CF06B7" w14:paraId="3B8CCFE3" w14:textId="77777777">
        <w:trPr>
          <w:trHeight w:val="1145"/>
          <w:jc w:val="center"/>
        </w:trPr>
        <w:tc>
          <w:tcPr>
            <w:tcW w:w="1728" w:type="dxa"/>
            <w:tcMar>
              <w:top w:w="57" w:type="dxa"/>
              <w:left w:w="57" w:type="dxa"/>
              <w:right w:w="57" w:type="dxa"/>
            </w:tcMar>
            <w:vAlign w:val="center"/>
          </w:tcPr>
          <w:p w14:paraId="773BB6AD" w14:textId="77777777" w:rsidR="00CF06B7" w:rsidRDefault="00D84484">
            <w:pPr>
              <w:jc w:val="center"/>
              <w:rPr>
                <w:rFonts w:ascii="Times New Roman" w:eastAsia="SimSun"/>
                <w:sz w:val="12"/>
                <w:szCs w:val="12"/>
              </w:rPr>
            </w:pPr>
            <w:r>
              <w:rPr>
                <w:rFonts w:ascii="Times New Roman" w:eastAsia="SimSun" w:hint="eastAsia"/>
                <w:noProof/>
                <w:sz w:val="12"/>
                <w:szCs w:val="12"/>
              </w:rPr>
              <w:drawing>
                <wp:inline distT="0" distB="0" distL="0" distR="0" wp14:anchorId="38DAD992" wp14:editId="3ED97CC6">
                  <wp:extent cx="779145" cy="993140"/>
                  <wp:effectExtent l="0" t="0" r="1905" b="0"/>
                  <wp:docPr id="21" name="图片 21" descr="未标题-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未标题-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82084" cy="996943"/>
                          </a:xfrm>
                          <a:prstGeom prst="rect">
                            <a:avLst/>
                          </a:prstGeom>
                          <a:noFill/>
                          <a:ln>
                            <a:noFill/>
                          </a:ln>
                        </pic:spPr>
                      </pic:pic>
                    </a:graphicData>
                  </a:graphic>
                </wp:inline>
              </w:drawing>
            </w:r>
          </w:p>
        </w:tc>
        <w:tc>
          <w:tcPr>
            <w:tcW w:w="3632" w:type="dxa"/>
            <w:tcMar>
              <w:left w:w="57" w:type="dxa"/>
              <w:right w:w="57" w:type="dxa"/>
            </w:tcMar>
            <w:vAlign w:val="center"/>
          </w:tcPr>
          <w:p w14:paraId="48DC03DB" w14:textId="77777777" w:rsidR="00CF06B7" w:rsidRDefault="00D84484">
            <w:pPr>
              <w:spacing w:before="40" w:after="40" w:line="140" w:lineRule="exact"/>
              <w:rPr>
                <w:rFonts w:ascii="Times New Roman" w:eastAsia="??¨¬?"/>
                <w:sz w:val="12"/>
                <w:szCs w:val="12"/>
              </w:rPr>
            </w:pPr>
            <w:r>
              <w:rPr>
                <w:rFonts w:ascii="Times New Roman" w:eastAsia="??¨¬?"/>
                <w:b/>
                <w:sz w:val="12"/>
                <w:szCs w:val="12"/>
              </w:rPr>
              <w:t>I</w:t>
            </w:r>
            <w:r>
              <w:rPr>
                <w:rFonts w:ascii="Times New Roman" w:eastAsia="??¨¬?" w:hint="eastAsia"/>
                <w:b/>
                <w:sz w:val="12"/>
                <w:szCs w:val="12"/>
              </w:rPr>
              <w:t>nvalid</w:t>
            </w:r>
            <w:r>
              <w:rPr>
                <w:rFonts w:ascii="Times New Roman" w:eastAsia="??¨¬?"/>
                <w:sz w:val="12"/>
                <w:szCs w:val="12"/>
              </w:rPr>
              <w:t>:</w:t>
            </w:r>
            <w:r>
              <w:rPr>
                <w:rFonts w:ascii="Times New Roman" w:eastAsia="??¨¬?" w:hint="eastAsia"/>
                <w:sz w:val="12"/>
                <w:szCs w:val="12"/>
              </w:rPr>
              <w:t xml:space="preserve"> </w:t>
            </w:r>
            <w:r>
              <w:rPr>
                <w:rFonts w:ascii="Times New Roman" w:eastAsia="??¨¬?"/>
                <w:sz w:val="12"/>
                <w:szCs w:val="12"/>
              </w:rPr>
              <w:t xml:space="preserve">Control line (C) is still completely or partially </w:t>
            </w:r>
            <w:r>
              <w:rPr>
                <w:rFonts w:ascii="Times New Roman" w:eastAsia="??¨¬?" w:hint="eastAsia"/>
                <w:sz w:val="12"/>
                <w:szCs w:val="12"/>
              </w:rPr>
              <w:t>blue</w:t>
            </w:r>
            <w:r>
              <w:rPr>
                <w:rFonts w:ascii="Times New Roman" w:eastAsia="??¨¬?"/>
                <w:sz w:val="12"/>
                <w:szCs w:val="12"/>
              </w:rPr>
              <w:t xml:space="preserve">, and fails to completely </w:t>
            </w:r>
            <w:r>
              <w:rPr>
                <w:rFonts w:ascii="Times New Roman" w:eastAsia="??¨¬?" w:hint="eastAsia"/>
                <w:sz w:val="12"/>
                <w:szCs w:val="12"/>
              </w:rPr>
              <w:t xml:space="preserve">change </w:t>
            </w:r>
            <w:r>
              <w:rPr>
                <w:rFonts w:ascii="Times New Roman" w:eastAsia="??¨¬?"/>
                <w:sz w:val="12"/>
                <w:szCs w:val="12"/>
              </w:rPr>
              <w:t xml:space="preserve">from blue to red. Insufficient </w:t>
            </w:r>
            <w:r>
              <w:rPr>
                <w:rFonts w:ascii="Times New Roman" w:eastAsia="??¨¬?" w:hint="eastAsia"/>
                <w:sz w:val="12"/>
                <w:szCs w:val="12"/>
              </w:rPr>
              <w:t>buffer</w:t>
            </w:r>
            <w:r>
              <w:rPr>
                <w:rFonts w:ascii="Times New Roman" w:eastAsia="??¨¬?"/>
                <w:sz w:val="12"/>
                <w:szCs w:val="12"/>
              </w:rPr>
              <w:t xml:space="preserve"> volume or incorrect procedural techniques are the most likely reasons for control line failure. Review the procedure and repeat the procedure with a new test device. If the problem persists, discontinue using the test kit immediately and contact your local distributor.</w:t>
            </w:r>
          </w:p>
        </w:tc>
      </w:tr>
    </w:tbl>
    <w:p w14:paraId="240FFD73" w14:textId="77777777" w:rsidR="00CF06B7" w:rsidRDefault="00D84484">
      <w:pPr>
        <w:spacing w:beforeLines="50" w:before="122" w:line="160" w:lineRule="exact"/>
        <w:rPr>
          <w:rFonts w:ascii="Times New Roman" w:eastAsia="Microsoft YaHei"/>
          <w:b/>
          <w:color w:val="000000"/>
          <w:sz w:val="16"/>
          <w:szCs w:val="16"/>
        </w:rPr>
      </w:pPr>
      <w:r>
        <w:rPr>
          <w:rFonts w:ascii="Times New Roman" w:eastAsia="??¨¬?"/>
          <w:b/>
          <w:sz w:val="12"/>
          <w:szCs w:val="12"/>
        </w:rPr>
        <w:t>NOTE:</w:t>
      </w:r>
      <w:r>
        <w:rPr>
          <w:rFonts w:ascii="Times New Roman" w:eastAsia="Microsoft YaHei"/>
          <w:b/>
          <w:color w:val="000000"/>
          <w:sz w:val="16"/>
          <w:szCs w:val="16"/>
        </w:rPr>
        <w:t xml:space="preserve"> </w:t>
      </w:r>
    </w:p>
    <w:p w14:paraId="147AF148" w14:textId="77777777" w:rsidR="00CF06B7" w:rsidRDefault="00D84484">
      <w:pPr>
        <w:numPr>
          <w:ilvl w:val="0"/>
          <w:numId w:val="8"/>
        </w:numPr>
        <w:overflowPunct w:val="0"/>
        <w:autoSpaceDE w:val="0"/>
        <w:autoSpaceDN w:val="0"/>
        <w:adjustRightInd w:val="0"/>
        <w:spacing w:line="140" w:lineRule="exact"/>
        <w:textAlignment w:val="baseline"/>
        <w:rPr>
          <w:rFonts w:ascii="Times New Roman" w:eastAsia="SimSun"/>
          <w:sz w:val="12"/>
          <w:szCs w:val="12"/>
        </w:rPr>
      </w:pPr>
      <w:r>
        <w:rPr>
          <w:rFonts w:ascii="Times New Roman" w:eastAsia="SimSun"/>
          <w:sz w:val="12"/>
          <w:szCs w:val="12"/>
        </w:rPr>
        <w:t xml:space="preserve">The </w:t>
      </w:r>
      <w:r>
        <w:rPr>
          <w:rFonts w:ascii="Times New Roman" w:eastAsia="SimSun" w:hint="eastAsia"/>
          <w:sz w:val="12"/>
          <w:szCs w:val="12"/>
        </w:rPr>
        <w:t>color intensity</w:t>
      </w:r>
      <w:r>
        <w:rPr>
          <w:rFonts w:ascii="Times New Roman" w:eastAsia="SimSun"/>
          <w:sz w:val="12"/>
          <w:szCs w:val="12"/>
        </w:rPr>
        <w:t xml:space="preserve"> in the test region may vary depending on the concentration of analytes present </w:t>
      </w:r>
      <w:r>
        <w:rPr>
          <w:rFonts w:ascii="Times New Roman" w:eastAsia="SimSun"/>
          <w:sz w:val="12"/>
          <w:szCs w:val="12"/>
        </w:rPr>
        <w:lastRenderedPageBreak/>
        <w:t>in the specimen. Therefore, any shade of color in the test region should be considered positive. Note that this is a qualitative test only, and cannot determine the concentration of analytes in the specimen.</w:t>
      </w:r>
    </w:p>
    <w:p w14:paraId="4B871C17" w14:textId="77777777" w:rsidR="00CF06B7" w:rsidRDefault="00D84484">
      <w:pPr>
        <w:numPr>
          <w:ilvl w:val="0"/>
          <w:numId w:val="8"/>
        </w:numPr>
        <w:overflowPunct w:val="0"/>
        <w:autoSpaceDE w:val="0"/>
        <w:autoSpaceDN w:val="0"/>
        <w:adjustRightInd w:val="0"/>
        <w:spacing w:line="140" w:lineRule="exact"/>
        <w:textAlignment w:val="baseline"/>
        <w:rPr>
          <w:rFonts w:ascii="Times New Roman" w:eastAsia="SimSun"/>
          <w:sz w:val="12"/>
          <w:szCs w:val="12"/>
        </w:rPr>
      </w:pPr>
      <w:r>
        <w:rPr>
          <w:rFonts w:ascii="Times New Roman" w:eastAsia="SimSun"/>
          <w:sz w:val="12"/>
          <w:szCs w:val="12"/>
        </w:rPr>
        <w:t>Insufficient specimen volume, incorrect operating procedure or expired tests are the most likely reasons for control band failure.</w:t>
      </w:r>
    </w:p>
    <w:p w14:paraId="194D7C65" w14:textId="77777777" w:rsidR="00CF06B7" w:rsidRDefault="00CF06B7">
      <w:pPr>
        <w:overflowPunct w:val="0"/>
        <w:autoSpaceDE w:val="0"/>
        <w:autoSpaceDN w:val="0"/>
        <w:adjustRightInd w:val="0"/>
        <w:spacing w:line="140" w:lineRule="exact"/>
        <w:ind w:left="420"/>
        <w:textAlignment w:val="baseline"/>
        <w:rPr>
          <w:rFonts w:ascii="Times New Roman" w:eastAsia="SimSun"/>
          <w:sz w:val="12"/>
          <w:szCs w:val="12"/>
        </w:rPr>
      </w:pPr>
    </w:p>
    <w:p w14:paraId="4CA9E098" w14:textId="77777777" w:rsidR="00CF06B7" w:rsidRPr="00026446" w:rsidRDefault="00D84484">
      <w:pPr>
        <w:pStyle w:val="Heading3"/>
        <w:spacing w:line="140" w:lineRule="exact"/>
        <w:rPr>
          <w:rFonts w:eastAsia="SimSun"/>
          <w:color w:val="auto"/>
          <w:szCs w:val="22"/>
          <w:lang w:val="en-US"/>
        </w:rPr>
      </w:pPr>
      <w:r w:rsidRPr="00026446">
        <w:rPr>
          <w:rFonts w:eastAsia="SimSun" w:hint="eastAsia"/>
          <w:color w:val="auto"/>
          <w:szCs w:val="22"/>
          <w:lang w:val="en-US"/>
        </w:rPr>
        <w:t>QUALITY CONTROL</w:t>
      </w:r>
    </w:p>
    <w:p w14:paraId="2C1A0003" w14:textId="77777777" w:rsidR="00CF06B7" w:rsidRDefault="00CF06B7">
      <w:pPr>
        <w:overflowPunct w:val="0"/>
        <w:autoSpaceDE w:val="0"/>
        <w:autoSpaceDN w:val="0"/>
        <w:adjustRightInd w:val="0"/>
        <w:spacing w:line="140" w:lineRule="exact"/>
        <w:textAlignment w:val="baseline"/>
        <w:rPr>
          <w:rFonts w:ascii="Times New Roman" w:eastAsia="Microsoft YaHei"/>
          <w:b/>
          <w:sz w:val="12"/>
          <w:szCs w:val="12"/>
        </w:rPr>
      </w:pPr>
    </w:p>
    <w:p w14:paraId="7C7F2FEE" w14:textId="77777777" w:rsidR="00CF06B7" w:rsidRDefault="00D84484">
      <w:pPr>
        <w:overflowPunct w:val="0"/>
        <w:autoSpaceDE w:val="0"/>
        <w:autoSpaceDN w:val="0"/>
        <w:adjustRightInd w:val="0"/>
        <w:spacing w:line="140" w:lineRule="exact"/>
        <w:textAlignment w:val="baseline"/>
        <w:rPr>
          <w:rFonts w:ascii="Times New Roman" w:eastAsia="Microsoft YaHei"/>
          <w:b/>
          <w:sz w:val="12"/>
          <w:szCs w:val="12"/>
        </w:rPr>
      </w:pPr>
      <w:r>
        <w:rPr>
          <w:rFonts w:ascii="Times New Roman" w:eastAsia="Microsoft YaHei"/>
          <w:b/>
          <w:sz w:val="12"/>
          <w:szCs w:val="12"/>
        </w:rPr>
        <w:t>Internal Procedural Controls</w:t>
      </w:r>
    </w:p>
    <w:p w14:paraId="365EAA2F" w14:textId="7BFD0EA8" w:rsidR="00CF06B7" w:rsidRDefault="00D84484">
      <w:pPr>
        <w:overflowPunct w:val="0"/>
        <w:autoSpaceDE w:val="0"/>
        <w:autoSpaceDN w:val="0"/>
        <w:adjustRightInd w:val="0"/>
        <w:spacing w:line="140" w:lineRule="exact"/>
        <w:textAlignment w:val="baseline"/>
        <w:rPr>
          <w:rFonts w:ascii="Times New Roman" w:eastAsia="Microsoft YaHei"/>
          <w:sz w:val="12"/>
          <w:szCs w:val="12"/>
        </w:rPr>
      </w:pPr>
      <w:r>
        <w:rPr>
          <w:rFonts w:ascii="Times New Roman" w:eastAsia="Microsoft YaHei"/>
          <w:sz w:val="12"/>
          <w:szCs w:val="12"/>
        </w:rPr>
        <w:t xml:space="preserve">The </w:t>
      </w:r>
      <w:r w:rsidR="005855BA">
        <w:rPr>
          <w:rFonts w:ascii="Times New Roman" w:eastAsia="Microsoft YaHei" w:hint="eastAsia"/>
          <w:sz w:val="12"/>
          <w:szCs w:val="12"/>
        </w:rPr>
        <w:t xml:space="preserve">Assure </w:t>
      </w:r>
      <w:r>
        <w:rPr>
          <w:rFonts w:ascii="Times New Roman" w:eastAsia="Microsoft YaHei" w:hint="eastAsia"/>
          <w:sz w:val="12"/>
          <w:szCs w:val="12"/>
        </w:rPr>
        <w:t>COVID-19</w:t>
      </w:r>
      <w:r>
        <w:rPr>
          <w:rFonts w:ascii="Times New Roman" w:hint="eastAsia"/>
          <w:sz w:val="12"/>
          <w:szCs w:val="12"/>
        </w:rPr>
        <w:t xml:space="preserve"> IgG/IgM</w:t>
      </w:r>
      <w:r>
        <w:rPr>
          <w:rFonts w:ascii="Times New Roman" w:eastAsia="Microsoft YaHei"/>
          <w:sz w:val="12"/>
          <w:szCs w:val="12"/>
        </w:rPr>
        <w:t xml:space="preserve"> Rapid Test Device has built-in (procedural) controls.</w:t>
      </w:r>
      <w:r>
        <w:rPr>
          <w:rFonts w:ascii="Times New Roman" w:eastAsia="Microsoft YaHei" w:hint="eastAsia"/>
          <w:sz w:val="12"/>
          <w:szCs w:val="12"/>
        </w:rPr>
        <w:t xml:space="preserve"> </w:t>
      </w:r>
      <w:r>
        <w:rPr>
          <w:rFonts w:ascii="Times New Roman" w:eastAsia="Microsoft YaHei"/>
          <w:sz w:val="12"/>
          <w:szCs w:val="12"/>
        </w:rPr>
        <w:t xml:space="preserve">Each test device has an internal standard zone to ensure proper sample flow. The user should confirm that </w:t>
      </w:r>
      <w:r>
        <w:rPr>
          <w:rFonts w:ascii="Times New Roman" w:eastAsia="Microsoft YaHei" w:hint="eastAsia"/>
          <w:sz w:val="12"/>
          <w:szCs w:val="12"/>
        </w:rPr>
        <w:t xml:space="preserve">the blue band should be always located at the </w:t>
      </w:r>
      <w:r>
        <w:rPr>
          <w:rFonts w:ascii="Times New Roman" w:eastAsia="Microsoft YaHei"/>
          <w:sz w:val="12"/>
          <w:szCs w:val="12"/>
        </w:rPr>
        <w:t>“</w:t>
      </w:r>
      <w:r>
        <w:rPr>
          <w:rFonts w:ascii="Times New Roman" w:eastAsia="Microsoft YaHei" w:hint="eastAsia"/>
          <w:sz w:val="12"/>
          <w:szCs w:val="12"/>
        </w:rPr>
        <w:t>C</w:t>
      </w:r>
      <w:r>
        <w:rPr>
          <w:rFonts w:ascii="Times New Roman" w:eastAsia="Microsoft YaHei"/>
          <w:sz w:val="12"/>
          <w:szCs w:val="12"/>
        </w:rPr>
        <w:t>”</w:t>
      </w:r>
      <w:r>
        <w:rPr>
          <w:rFonts w:ascii="Times New Roman" w:eastAsia="Microsoft YaHei" w:hint="eastAsia"/>
          <w:sz w:val="12"/>
          <w:szCs w:val="12"/>
        </w:rPr>
        <w:t xml:space="preserve"> region before testing, and the red band should be always present before result interpretation.</w:t>
      </w:r>
    </w:p>
    <w:p w14:paraId="68B39621" w14:textId="77777777" w:rsidR="00CF06B7" w:rsidRDefault="00D84484">
      <w:pPr>
        <w:overflowPunct w:val="0"/>
        <w:autoSpaceDE w:val="0"/>
        <w:autoSpaceDN w:val="0"/>
        <w:adjustRightInd w:val="0"/>
        <w:spacing w:line="140" w:lineRule="exact"/>
        <w:textAlignment w:val="baseline"/>
        <w:rPr>
          <w:rFonts w:ascii="Times New Roman" w:eastAsia="Microsoft YaHei"/>
          <w:b/>
          <w:sz w:val="12"/>
          <w:szCs w:val="12"/>
        </w:rPr>
      </w:pPr>
      <w:r>
        <w:rPr>
          <w:rFonts w:ascii="Times New Roman" w:eastAsia="Microsoft YaHei"/>
          <w:b/>
          <w:sz w:val="12"/>
          <w:szCs w:val="12"/>
        </w:rPr>
        <w:t>External Positive and Negative Controls</w:t>
      </w:r>
    </w:p>
    <w:p w14:paraId="4C934DA6" w14:textId="77777777" w:rsidR="00CF06B7" w:rsidRDefault="00D84484">
      <w:pPr>
        <w:overflowPunct w:val="0"/>
        <w:autoSpaceDE w:val="0"/>
        <w:autoSpaceDN w:val="0"/>
        <w:adjustRightInd w:val="0"/>
        <w:spacing w:line="140" w:lineRule="exact"/>
        <w:textAlignment w:val="baseline"/>
        <w:rPr>
          <w:rFonts w:ascii="Times New Roman" w:eastAsia="Microsoft YaHei"/>
          <w:sz w:val="12"/>
          <w:szCs w:val="12"/>
        </w:rPr>
      </w:pPr>
      <w:r>
        <w:rPr>
          <w:rFonts w:ascii="Times New Roman" w:eastAsia="Microsoft YaHei"/>
          <w:sz w:val="12"/>
          <w:szCs w:val="12"/>
        </w:rPr>
        <w:t>Good laboratory practice suggests testing positive and negative external controls to ensure that the test reagents are working and that the test is correctly performed.</w:t>
      </w:r>
    </w:p>
    <w:p w14:paraId="4A16B517" w14:textId="77777777" w:rsidR="00CF06B7" w:rsidRDefault="00CF06B7">
      <w:pPr>
        <w:overflowPunct w:val="0"/>
        <w:autoSpaceDE w:val="0"/>
        <w:autoSpaceDN w:val="0"/>
        <w:adjustRightInd w:val="0"/>
        <w:spacing w:line="140" w:lineRule="exact"/>
        <w:textAlignment w:val="baseline"/>
        <w:rPr>
          <w:rFonts w:ascii="Times New Roman" w:eastAsia="Microsoft YaHei"/>
          <w:sz w:val="12"/>
          <w:szCs w:val="12"/>
        </w:rPr>
      </w:pPr>
    </w:p>
    <w:p w14:paraId="642E20C0" w14:textId="77777777" w:rsidR="00CF06B7" w:rsidRPr="00AE766A" w:rsidRDefault="00D84484">
      <w:pPr>
        <w:pStyle w:val="Heading3"/>
        <w:spacing w:line="140" w:lineRule="exact"/>
        <w:rPr>
          <w:szCs w:val="12"/>
          <w:lang w:val="en-US"/>
        </w:rPr>
      </w:pPr>
      <w:r w:rsidRPr="00AE766A">
        <w:rPr>
          <w:rFonts w:eastAsia="SimSun" w:hint="eastAsia"/>
          <w:color w:val="auto"/>
          <w:szCs w:val="22"/>
          <w:lang w:val="en-US"/>
        </w:rPr>
        <w:t>LIMITATIONS OF THE TEST</w:t>
      </w:r>
    </w:p>
    <w:p w14:paraId="58AB4715" w14:textId="740C4835" w:rsidR="00CF06B7" w:rsidRDefault="009330E3" w:rsidP="00DE22BB">
      <w:pPr>
        <w:pStyle w:val="NormalIndent"/>
        <w:ind w:firstLine="0"/>
        <w:rPr>
          <w:rFonts w:ascii="Times New Roman"/>
          <w:sz w:val="12"/>
          <w:szCs w:val="12"/>
        </w:rPr>
      </w:pPr>
      <w:r w:rsidRPr="005646E1">
        <w:rPr>
          <w:rFonts w:ascii="Calibri"/>
          <w:b/>
        </w:rPr>
        <w:t>For use under an Emergency Use Authorization Only</w:t>
      </w:r>
      <w:r>
        <w:rPr>
          <w:rFonts w:ascii="Times New Roman"/>
          <w:sz w:val="12"/>
          <w:szCs w:val="12"/>
        </w:rPr>
        <w:t xml:space="preserve"> </w:t>
      </w:r>
    </w:p>
    <w:p w14:paraId="3DD2C898" w14:textId="50FF5CA7" w:rsidR="00CF06B7" w:rsidRPr="00AE766A" w:rsidRDefault="00AE766A">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Use of the Assure COVID-19 IgG/IgM Rapid Test Device is limited to laboratory personnel who have been trained. Not for home use. </w:t>
      </w:r>
    </w:p>
    <w:p w14:paraId="5A66527F" w14:textId="2C5ECF2B" w:rsidR="00CF06B7" w:rsidRPr="00AE766A" w:rsidRDefault="00AE766A">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The Assure COVID-19 IgG/IgM Rapid Test Device is for </w:t>
      </w:r>
      <w:r w:rsidRPr="00AE766A">
        <w:rPr>
          <w:rFonts w:ascii="Times New Roman" w:hint="eastAsia"/>
          <w:i/>
          <w:sz w:val="12"/>
          <w:szCs w:val="12"/>
        </w:rPr>
        <w:t>in vitro</w:t>
      </w:r>
      <w:r>
        <w:rPr>
          <w:rFonts w:ascii="Times New Roman" w:hint="eastAsia"/>
          <w:sz w:val="12"/>
          <w:szCs w:val="12"/>
        </w:rPr>
        <w:t xml:space="preserve"> diagnostic use only. The test should be used for the detection of SARS-CoV-2 antibodies in whole blood, serum or plasma specimens only. Neither quantitative value nor the rate of increase in SARS-CoV-2 antibody concentration can be determined by this qualitative test. </w:t>
      </w:r>
    </w:p>
    <w:p w14:paraId="3B544276" w14:textId="535B137E" w:rsidR="00A6169A" w:rsidRPr="00D337C5" w:rsidRDefault="007C5F72">
      <w:pPr>
        <w:numPr>
          <w:ilvl w:val="0"/>
          <w:numId w:val="9"/>
        </w:numPr>
        <w:overflowPunct w:val="0"/>
        <w:autoSpaceDE w:val="0"/>
        <w:autoSpaceDN w:val="0"/>
        <w:adjustRightInd w:val="0"/>
        <w:spacing w:line="140" w:lineRule="exact"/>
        <w:textAlignment w:val="baseline"/>
        <w:rPr>
          <w:rFonts w:ascii="Times New Roman"/>
          <w:sz w:val="12"/>
          <w:szCs w:val="12"/>
        </w:rPr>
      </w:pPr>
      <w:r w:rsidRPr="00D337C5">
        <w:rPr>
          <w:rFonts w:ascii="Times New Roman" w:hint="eastAsia"/>
          <w:sz w:val="12"/>
          <w:szCs w:val="12"/>
        </w:rPr>
        <w:t xml:space="preserve">The Assure COVID-19 IgG/IgM Rapid Test Device is </w:t>
      </w:r>
      <w:r w:rsidRPr="00D337C5">
        <w:rPr>
          <w:rFonts w:ascii="Times New Roman"/>
          <w:sz w:val="12"/>
          <w:szCs w:val="12"/>
        </w:rPr>
        <w:t xml:space="preserve">not </w:t>
      </w:r>
      <w:r w:rsidR="00097B47">
        <w:rPr>
          <w:rFonts w:ascii="Times New Roman"/>
          <w:sz w:val="12"/>
          <w:szCs w:val="12"/>
        </w:rPr>
        <w:t xml:space="preserve">validated </w:t>
      </w:r>
      <w:r w:rsidRPr="00D337C5">
        <w:rPr>
          <w:rFonts w:ascii="Times New Roman" w:hint="eastAsia"/>
          <w:sz w:val="12"/>
          <w:szCs w:val="12"/>
        </w:rPr>
        <w:t>for</w:t>
      </w:r>
      <w:r w:rsidR="00A24556" w:rsidRPr="00D337C5">
        <w:rPr>
          <w:rFonts w:ascii="Times New Roman"/>
          <w:sz w:val="12"/>
          <w:szCs w:val="12"/>
        </w:rPr>
        <w:t xml:space="preserve"> finger stick blood</w:t>
      </w:r>
      <w:r w:rsidR="00876390" w:rsidRPr="00D337C5">
        <w:rPr>
          <w:rFonts w:ascii="Times New Roman"/>
          <w:sz w:val="12"/>
          <w:szCs w:val="12"/>
        </w:rPr>
        <w:t>.</w:t>
      </w:r>
    </w:p>
    <w:p w14:paraId="2277C5D4" w14:textId="563E9E85" w:rsidR="00CF06B7" w:rsidRPr="00AE766A" w:rsidRDefault="00AE766A">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The Assay Procedure and the Interpretation of Assay Result must be followed closely when testing for the presence of SARS-CoV-2 virus specific antibodies in the serum, plasma or whole blood specimen </w:t>
      </w:r>
      <w:r w:rsidR="007E61DE">
        <w:rPr>
          <w:rFonts w:ascii="Times New Roman" w:hint="eastAsia"/>
          <w:sz w:val="12"/>
          <w:szCs w:val="12"/>
        </w:rPr>
        <w:t xml:space="preserve">from individual subjects. For optimal test performance, proper sample collection is critical. Failure to follow the procedure may give inaccurate results.  </w:t>
      </w:r>
    </w:p>
    <w:p w14:paraId="67ED1ADF" w14:textId="20F925D9" w:rsidR="00CF06B7" w:rsidRPr="007E61DE" w:rsidRDefault="007E61DE">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Reading test results earlier than 10 minutes after the addition of Buffer may yield erroneous results. Do not interpret the results after 20 minutes. </w:t>
      </w:r>
    </w:p>
    <w:p w14:paraId="0E2CDA72" w14:textId="11A32FBA" w:rsidR="00CF06B7" w:rsidRPr="007E61DE" w:rsidRDefault="007E61DE">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The Assure COVID-19 IgG/IgM Rapid Test Device will only indicate the presence of SARS-CoV-2 antibodies in the specimen and should not be used for the diagnosis of SARS-CoV-2.  </w:t>
      </w:r>
    </w:p>
    <w:p w14:paraId="69C4FD6F" w14:textId="2A984E69" w:rsidR="00CF06B7" w:rsidRPr="007E61DE" w:rsidRDefault="007E61DE">
      <w:pPr>
        <w:numPr>
          <w:ilvl w:val="0"/>
          <w:numId w:val="9"/>
        </w:numPr>
        <w:overflowPunct w:val="0"/>
        <w:autoSpaceDE w:val="0"/>
        <w:autoSpaceDN w:val="0"/>
        <w:adjustRightInd w:val="0"/>
        <w:spacing w:line="140" w:lineRule="exact"/>
        <w:textAlignment w:val="baseline"/>
        <w:rPr>
          <w:rFonts w:ascii="Times New Roman"/>
          <w:sz w:val="12"/>
          <w:szCs w:val="12"/>
        </w:rPr>
      </w:pPr>
      <w:r w:rsidRPr="007E61DE">
        <w:rPr>
          <w:rFonts w:ascii="Times New Roman" w:hint="eastAsia"/>
          <w:sz w:val="12"/>
          <w:szCs w:val="12"/>
        </w:rPr>
        <w:t>In the early</w:t>
      </w:r>
      <w:r>
        <w:rPr>
          <w:rFonts w:ascii="Times New Roman" w:hint="eastAsia"/>
          <w:sz w:val="12"/>
          <w:szCs w:val="12"/>
        </w:rPr>
        <w:t xml:space="preserve"> onset of symptom, anti-SARS-Cov-2 IgM and IgG antibody concentrations may be below detectable levels. </w:t>
      </w:r>
      <w:r w:rsidRPr="007E61DE">
        <w:rPr>
          <w:rFonts w:ascii="Times New Roman" w:hint="eastAsia"/>
          <w:sz w:val="12"/>
          <w:szCs w:val="12"/>
        </w:rPr>
        <w:t xml:space="preserve"> </w:t>
      </w:r>
    </w:p>
    <w:p w14:paraId="453B8A1A" w14:textId="6BBFE2AE" w:rsidR="00CF06B7" w:rsidRPr="007E61DE" w:rsidRDefault="007E61DE">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A high dose </w:t>
      </w:r>
      <w:r>
        <w:rPr>
          <w:rFonts w:ascii="Times New Roman"/>
          <w:sz w:val="12"/>
          <w:szCs w:val="12"/>
        </w:rPr>
        <w:t>“</w:t>
      </w:r>
      <w:r>
        <w:rPr>
          <w:rFonts w:ascii="Times New Roman" w:hint="eastAsia"/>
          <w:sz w:val="12"/>
          <w:szCs w:val="12"/>
        </w:rPr>
        <w:t>hook effect</w:t>
      </w:r>
      <w:r>
        <w:rPr>
          <w:rFonts w:ascii="Times New Roman"/>
          <w:sz w:val="12"/>
          <w:szCs w:val="12"/>
        </w:rPr>
        <w:t>”</w:t>
      </w:r>
      <w:r>
        <w:rPr>
          <w:rFonts w:ascii="Times New Roman" w:hint="eastAsia"/>
          <w:sz w:val="12"/>
          <w:szCs w:val="12"/>
        </w:rPr>
        <w:t xml:space="preserve"> may occur where the color intensity of test band decreases as the concentration of anti-SARS-CoV-2 IgG/IgM increases. If a </w:t>
      </w:r>
      <w:r>
        <w:rPr>
          <w:rFonts w:ascii="Times New Roman"/>
          <w:sz w:val="12"/>
          <w:szCs w:val="12"/>
        </w:rPr>
        <w:t>“</w:t>
      </w:r>
      <w:r>
        <w:rPr>
          <w:rFonts w:ascii="Times New Roman" w:hint="eastAsia"/>
          <w:sz w:val="12"/>
          <w:szCs w:val="12"/>
        </w:rPr>
        <w:t>hook effect</w:t>
      </w:r>
      <w:r>
        <w:rPr>
          <w:rFonts w:ascii="Times New Roman"/>
          <w:sz w:val="12"/>
          <w:szCs w:val="12"/>
        </w:rPr>
        <w:t>”</w:t>
      </w:r>
      <w:r>
        <w:rPr>
          <w:rFonts w:ascii="Times New Roman" w:hint="eastAsia"/>
          <w:sz w:val="12"/>
          <w:szCs w:val="12"/>
        </w:rPr>
        <w:t xml:space="preserve"> is suspected, dilution of specimens may increase color intensity of the test band. </w:t>
      </w:r>
    </w:p>
    <w:p w14:paraId="182DEE2D" w14:textId="3F109C36" w:rsidR="00CF06B7" w:rsidRPr="007E61DE" w:rsidRDefault="007E61DE">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Results from immunosuppressed patients should be interpreted with caution. </w:t>
      </w:r>
    </w:p>
    <w:p w14:paraId="3516E8F3" w14:textId="1C6E51A1" w:rsidR="00CF06B7" w:rsidRDefault="007E61DE">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As with all diagnostic tests, all results must be interpreted together with other clinical </w:t>
      </w:r>
      <w:r>
        <w:rPr>
          <w:rFonts w:ascii="Times New Roman"/>
          <w:sz w:val="12"/>
          <w:szCs w:val="12"/>
        </w:rPr>
        <w:t>information</w:t>
      </w:r>
      <w:r>
        <w:rPr>
          <w:rFonts w:ascii="Times New Roman" w:hint="eastAsia"/>
          <w:sz w:val="12"/>
          <w:szCs w:val="12"/>
        </w:rPr>
        <w:t xml:space="preserve"> available to the physician. </w:t>
      </w:r>
    </w:p>
    <w:p w14:paraId="4F92FDD6" w14:textId="7176BD0B" w:rsidR="00EC39BB" w:rsidRDefault="007E61DE">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Negative results do not preclude SARS-CoV-2 infection and should not be used as the sole basis for patient management decisions, IgM antibodies may not be detected in the first few days of </w:t>
      </w:r>
      <w:r>
        <w:rPr>
          <w:rFonts w:ascii="Times New Roman"/>
          <w:sz w:val="12"/>
          <w:szCs w:val="12"/>
        </w:rPr>
        <w:t>infection</w:t>
      </w:r>
      <w:r>
        <w:rPr>
          <w:rFonts w:ascii="Times New Roman" w:hint="eastAsia"/>
          <w:sz w:val="12"/>
          <w:szCs w:val="12"/>
        </w:rPr>
        <w:t>; the sensitivity of the</w:t>
      </w:r>
      <w:r w:rsidRPr="007E61DE">
        <w:rPr>
          <w:rFonts w:ascii="Times New Roman" w:hint="eastAsia"/>
          <w:sz w:val="12"/>
          <w:szCs w:val="12"/>
        </w:rPr>
        <w:t xml:space="preserve"> </w:t>
      </w:r>
      <w:r>
        <w:rPr>
          <w:rFonts w:ascii="Times New Roman" w:hint="eastAsia"/>
          <w:sz w:val="12"/>
          <w:szCs w:val="12"/>
        </w:rPr>
        <w:t>Assure COVID-19 IgG/IgM Rapid Test Device early after infection is unknown. False positive results for IgM and IgG antibodies may occur due to cross-reactivity from pre-</w:t>
      </w:r>
      <w:r>
        <w:rPr>
          <w:rFonts w:ascii="Times New Roman"/>
          <w:sz w:val="12"/>
          <w:szCs w:val="12"/>
        </w:rPr>
        <w:t>existing</w:t>
      </w:r>
      <w:r>
        <w:rPr>
          <w:rFonts w:ascii="Times New Roman" w:hint="eastAsia"/>
          <w:sz w:val="12"/>
          <w:szCs w:val="12"/>
        </w:rPr>
        <w:t xml:space="preserve"> antibodies or other possible causes. Samples with positive results should be confirmed with alternative testing method(s) and clinical findings. </w:t>
      </w:r>
    </w:p>
    <w:p w14:paraId="4F3E5D10" w14:textId="1F7E691B" w:rsidR="007E61DE" w:rsidRDefault="007E61DE">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sz w:val="12"/>
          <w:szCs w:val="12"/>
        </w:rPr>
        <w:t>A</w:t>
      </w:r>
      <w:r>
        <w:rPr>
          <w:rFonts w:ascii="Times New Roman" w:hint="eastAsia"/>
          <w:sz w:val="12"/>
          <w:szCs w:val="12"/>
        </w:rPr>
        <w:t xml:space="preserve"> negative result can occur if the </w:t>
      </w:r>
      <w:r>
        <w:rPr>
          <w:rFonts w:ascii="Times New Roman"/>
          <w:sz w:val="12"/>
          <w:szCs w:val="12"/>
        </w:rPr>
        <w:t>quantity</w:t>
      </w:r>
      <w:r>
        <w:rPr>
          <w:rFonts w:ascii="Times New Roman" w:hint="eastAsia"/>
          <w:sz w:val="12"/>
          <w:szCs w:val="12"/>
        </w:rPr>
        <w:t xml:space="preserve"> of the </w:t>
      </w:r>
      <w:r w:rsidR="009863A3">
        <w:rPr>
          <w:rFonts w:ascii="Times New Roman" w:hint="eastAsia"/>
          <w:sz w:val="12"/>
          <w:szCs w:val="12"/>
        </w:rPr>
        <w:t>anti-SARS-CoV</w:t>
      </w:r>
      <w:r>
        <w:rPr>
          <w:rFonts w:ascii="Times New Roman" w:hint="eastAsia"/>
          <w:sz w:val="12"/>
          <w:szCs w:val="12"/>
        </w:rPr>
        <w:t xml:space="preserve">-2 antibodies present in </w:t>
      </w:r>
      <w:r>
        <w:rPr>
          <w:rFonts w:ascii="Times New Roman"/>
          <w:sz w:val="12"/>
          <w:szCs w:val="12"/>
        </w:rPr>
        <w:t>the</w:t>
      </w:r>
      <w:r>
        <w:rPr>
          <w:rFonts w:ascii="Times New Roman" w:hint="eastAsia"/>
          <w:sz w:val="12"/>
          <w:szCs w:val="12"/>
        </w:rPr>
        <w:t xml:space="preserve"> specimen is below the detection limits of the assay, or the antibodies that are detected are not present during </w:t>
      </w:r>
      <w:r>
        <w:rPr>
          <w:rFonts w:ascii="Times New Roman"/>
          <w:sz w:val="12"/>
          <w:szCs w:val="12"/>
        </w:rPr>
        <w:t>the</w:t>
      </w:r>
      <w:r>
        <w:rPr>
          <w:rFonts w:ascii="Times New Roman" w:hint="eastAsia"/>
          <w:sz w:val="12"/>
          <w:szCs w:val="12"/>
        </w:rPr>
        <w:t xml:space="preserve"> stage of disease in which a </w:t>
      </w:r>
      <w:r>
        <w:rPr>
          <w:rFonts w:ascii="Times New Roman"/>
          <w:sz w:val="12"/>
          <w:szCs w:val="12"/>
        </w:rPr>
        <w:t>sample is</w:t>
      </w:r>
      <w:r>
        <w:rPr>
          <w:rFonts w:ascii="Times New Roman" w:hint="eastAsia"/>
          <w:sz w:val="12"/>
          <w:szCs w:val="12"/>
        </w:rPr>
        <w:t xml:space="preserve"> collected.  </w:t>
      </w:r>
    </w:p>
    <w:p w14:paraId="0FF9F521" w14:textId="03C443D6" w:rsidR="009863A3" w:rsidRDefault="009863A3">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Positive results may be due to past or present infection </w:t>
      </w:r>
      <w:r>
        <w:rPr>
          <w:rFonts w:ascii="Times New Roman"/>
          <w:sz w:val="12"/>
          <w:szCs w:val="12"/>
        </w:rPr>
        <w:t>with</w:t>
      </w:r>
      <w:r>
        <w:rPr>
          <w:rFonts w:ascii="Times New Roman" w:hint="eastAsia"/>
          <w:sz w:val="12"/>
          <w:szCs w:val="12"/>
        </w:rPr>
        <w:t xml:space="preserve"> non-SARS-CoV-2 coronavirus strains, such as coronavirus HKU1, NL63, OC43, or 229E.</w:t>
      </w:r>
    </w:p>
    <w:p w14:paraId="1B6B2BE1" w14:textId="3C6A9C02" w:rsidR="009863A3" w:rsidRDefault="009863A3">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Results from antibody testing should not be used to diagnose or exclude SARS-CoV-2 infection or to inform infection status. </w:t>
      </w:r>
    </w:p>
    <w:p w14:paraId="31517A4E" w14:textId="291BAFA7" w:rsidR="009863A3" w:rsidRDefault="009863A3">
      <w:pPr>
        <w:numPr>
          <w:ilvl w:val="0"/>
          <w:numId w:val="9"/>
        </w:num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Not for the screening of donated blood. </w:t>
      </w:r>
    </w:p>
    <w:p w14:paraId="54BE9A23" w14:textId="77777777" w:rsidR="009863A3" w:rsidRDefault="009863A3" w:rsidP="009863A3">
      <w:pPr>
        <w:overflowPunct w:val="0"/>
        <w:autoSpaceDE w:val="0"/>
        <w:autoSpaceDN w:val="0"/>
        <w:adjustRightInd w:val="0"/>
        <w:spacing w:line="140" w:lineRule="exact"/>
        <w:textAlignment w:val="baseline"/>
        <w:rPr>
          <w:rFonts w:ascii="Times New Roman"/>
          <w:sz w:val="12"/>
          <w:szCs w:val="12"/>
        </w:rPr>
      </w:pPr>
    </w:p>
    <w:p w14:paraId="262E60C7" w14:textId="5B2AD32D" w:rsidR="009863A3" w:rsidRPr="009863A3" w:rsidRDefault="009863A3" w:rsidP="009863A3">
      <w:pPr>
        <w:overflowPunct w:val="0"/>
        <w:autoSpaceDE w:val="0"/>
        <w:autoSpaceDN w:val="0"/>
        <w:adjustRightInd w:val="0"/>
        <w:spacing w:line="140" w:lineRule="exact"/>
        <w:textAlignment w:val="baseline"/>
        <w:rPr>
          <w:rFonts w:ascii="Times New Roman"/>
          <w:i/>
          <w:sz w:val="12"/>
          <w:szCs w:val="12"/>
        </w:rPr>
      </w:pPr>
      <w:r w:rsidRPr="009863A3">
        <w:rPr>
          <w:rFonts w:ascii="Times New Roman" w:hint="eastAsia"/>
          <w:i/>
          <w:sz w:val="12"/>
          <w:szCs w:val="12"/>
        </w:rPr>
        <w:t xml:space="preserve">The sensitivity of the test is impacted after being open for one hour-the intensity of the T line becomes weak. Testing must be </w:t>
      </w:r>
      <w:r w:rsidRPr="009863A3">
        <w:rPr>
          <w:rFonts w:ascii="Times New Roman"/>
          <w:i/>
          <w:sz w:val="12"/>
          <w:szCs w:val="12"/>
        </w:rPr>
        <w:t>perform</w:t>
      </w:r>
      <w:r w:rsidR="000D63C3">
        <w:rPr>
          <w:rFonts w:ascii="Times New Roman"/>
          <w:i/>
          <w:sz w:val="12"/>
          <w:szCs w:val="12"/>
        </w:rPr>
        <w:t>ed</w:t>
      </w:r>
      <w:r w:rsidRPr="009863A3">
        <w:rPr>
          <w:rFonts w:ascii="Times New Roman" w:hint="eastAsia"/>
          <w:i/>
          <w:sz w:val="12"/>
          <w:szCs w:val="12"/>
        </w:rPr>
        <w:t xml:space="preserve"> within one hour after opening the pouch. </w:t>
      </w:r>
    </w:p>
    <w:p w14:paraId="68EB6BF9" w14:textId="77777777" w:rsidR="009330E3" w:rsidRDefault="009330E3" w:rsidP="00E7727E">
      <w:pPr>
        <w:overflowPunct w:val="0"/>
        <w:autoSpaceDE w:val="0"/>
        <w:autoSpaceDN w:val="0"/>
        <w:adjustRightInd w:val="0"/>
        <w:spacing w:line="140" w:lineRule="exact"/>
        <w:textAlignment w:val="baseline"/>
        <w:rPr>
          <w:rFonts w:ascii="Times New Roman"/>
          <w:b/>
          <w:sz w:val="12"/>
          <w:szCs w:val="12"/>
        </w:rPr>
      </w:pPr>
    </w:p>
    <w:p w14:paraId="3D377067" w14:textId="1164F3D8" w:rsidR="00F61E9E" w:rsidRPr="009330E3" w:rsidRDefault="009E34C9" w:rsidP="00E7727E">
      <w:pPr>
        <w:overflowPunct w:val="0"/>
        <w:autoSpaceDE w:val="0"/>
        <w:autoSpaceDN w:val="0"/>
        <w:adjustRightInd w:val="0"/>
        <w:spacing w:line="140" w:lineRule="exact"/>
        <w:textAlignment w:val="baseline"/>
        <w:rPr>
          <w:rFonts w:ascii="Times New Roman"/>
          <w:b/>
          <w:sz w:val="16"/>
          <w:szCs w:val="16"/>
        </w:rPr>
      </w:pPr>
      <w:r w:rsidRPr="009330E3">
        <w:rPr>
          <w:rFonts w:ascii="Times New Roman" w:hint="eastAsia"/>
          <w:b/>
          <w:sz w:val="16"/>
          <w:szCs w:val="16"/>
        </w:rPr>
        <w:t>Conditions of Authorization for the Laboratory</w:t>
      </w:r>
    </w:p>
    <w:p w14:paraId="710AD4C1" w14:textId="77777777" w:rsidR="00DE22BB" w:rsidRDefault="00DE22BB" w:rsidP="009330E3">
      <w:pPr>
        <w:overflowPunct w:val="0"/>
        <w:autoSpaceDE w:val="0"/>
        <w:autoSpaceDN w:val="0"/>
        <w:adjustRightInd w:val="0"/>
        <w:spacing w:line="140" w:lineRule="exact"/>
        <w:textAlignment w:val="baseline"/>
        <w:rPr>
          <w:rFonts w:ascii="Times New Roman"/>
          <w:sz w:val="12"/>
          <w:szCs w:val="12"/>
        </w:rPr>
      </w:pPr>
    </w:p>
    <w:p w14:paraId="2EEFF8D3" w14:textId="340C2C42" w:rsidR="00E7727E" w:rsidRDefault="00F61E9E" w:rsidP="009330E3">
      <w:pPr>
        <w:overflowPunct w:val="0"/>
        <w:autoSpaceDE w:val="0"/>
        <w:autoSpaceDN w:val="0"/>
        <w:adjustRightInd w:val="0"/>
        <w:spacing w:line="140" w:lineRule="exact"/>
        <w:textAlignment w:val="baseline"/>
        <w:rPr>
          <w:rFonts w:ascii="Times New Roman"/>
          <w:sz w:val="12"/>
          <w:szCs w:val="12"/>
        </w:rPr>
      </w:pPr>
      <w:r>
        <w:rPr>
          <w:rFonts w:ascii="Times New Roman"/>
          <w:sz w:val="12"/>
          <w:szCs w:val="12"/>
        </w:rPr>
        <w:t>The</w:t>
      </w:r>
      <w:r>
        <w:rPr>
          <w:rFonts w:ascii="Times New Roman" w:hint="eastAsia"/>
          <w:sz w:val="12"/>
          <w:szCs w:val="12"/>
        </w:rPr>
        <w:t xml:space="preserve"> Assure COVID-19 IgG/IgM Rapid Test Device Letter of Authorization, along with the authorized Fact Sheet for Healthcare Providers, the authorized Fact Sheet for </w:t>
      </w:r>
      <w:r w:rsidR="00C63539">
        <w:rPr>
          <w:rFonts w:ascii="Times New Roman"/>
          <w:sz w:val="12"/>
          <w:szCs w:val="12"/>
        </w:rPr>
        <w:t>Recipients</w:t>
      </w:r>
      <w:r>
        <w:rPr>
          <w:rFonts w:ascii="Times New Roman" w:hint="eastAsia"/>
          <w:sz w:val="12"/>
          <w:szCs w:val="12"/>
        </w:rPr>
        <w:t xml:space="preserve">, and </w:t>
      </w:r>
      <w:r w:rsidR="00D750A1">
        <w:rPr>
          <w:rFonts w:ascii="Times New Roman"/>
          <w:sz w:val="12"/>
          <w:szCs w:val="12"/>
        </w:rPr>
        <w:t xml:space="preserve">other </w:t>
      </w:r>
      <w:r>
        <w:rPr>
          <w:rFonts w:ascii="Times New Roman" w:hint="eastAsia"/>
          <w:sz w:val="12"/>
          <w:szCs w:val="12"/>
        </w:rPr>
        <w:t xml:space="preserve">authorized labeling are available on the FDA website: </w:t>
      </w:r>
      <w:hyperlink r:id="rId22" w:history="1">
        <w:r w:rsidR="00206EC8" w:rsidRPr="00C847FC">
          <w:rPr>
            <w:rStyle w:val="Hyperlink"/>
            <w:rFonts w:ascii="Times New Roman"/>
            <w:sz w:val="12"/>
            <w:szCs w:val="12"/>
          </w:rPr>
          <w:t>https://www.fda.gov/medical-devices/coronavirus-disease-2019-covid-19-emergency-use-authorizations-medical-devices/vitro-diagnostics-euas</w:t>
        </w:r>
      </w:hyperlink>
      <w:r>
        <w:rPr>
          <w:rFonts w:ascii="Times New Roman" w:hint="eastAsia"/>
          <w:sz w:val="12"/>
          <w:szCs w:val="12"/>
        </w:rPr>
        <w:t>.</w:t>
      </w:r>
    </w:p>
    <w:p w14:paraId="6AC27033" w14:textId="45B5C942" w:rsidR="00F61E9E" w:rsidRDefault="00F61E9E" w:rsidP="00E7727E">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Authorized laboratories using the Assure COVID-19 IgG/IgM Rapid Test Device (</w:t>
      </w:r>
      <w:r>
        <w:rPr>
          <w:rFonts w:ascii="Times New Roman"/>
          <w:sz w:val="12"/>
          <w:szCs w:val="12"/>
        </w:rPr>
        <w:t>“</w:t>
      </w:r>
      <w:r>
        <w:rPr>
          <w:rFonts w:ascii="Times New Roman" w:hint="eastAsia"/>
          <w:sz w:val="12"/>
          <w:szCs w:val="12"/>
        </w:rPr>
        <w:t>your product</w:t>
      </w:r>
      <w:r>
        <w:rPr>
          <w:rFonts w:ascii="Times New Roman"/>
          <w:sz w:val="12"/>
          <w:szCs w:val="12"/>
        </w:rPr>
        <w:t>”</w:t>
      </w:r>
      <w:r>
        <w:rPr>
          <w:rFonts w:ascii="Times New Roman" w:hint="eastAsia"/>
          <w:sz w:val="12"/>
          <w:szCs w:val="12"/>
        </w:rPr>
        <w:t xml:space="preserve"> in the conditions below), must </w:t>
      </w:r>
      <w:r>
        <w:rPr>
          <w:rFonts w:ascii="Times New Roman"/>
          <w:sz w:val="12"/>
          <w:szCs w:val="12"/>
        </w:rPr>
        <w:t>adhere</w:t>
      </w:r>
      <w:r>
        <w:rPr>
          <w:rFonts w:ascii="Times New Roman" w:hint="eastAsia"/>
          <w:sz w:val="12"/>
          <w:szCs w:val="12"/>
        </w:rPr>
        <w:t xml:space="preserve"> to the Conditions of Authorization indicated in </w:t>
      </w:r>
      <w:r>
        <w:rPr>
          <w:rFonts w:ascii="Times New Roman"/>
          <w:sz w:val="12"/>
          <w:szCs w:val="12"/>
        </w:rPr>
        <w:t>the</w:t>
      </w:r>
      <w:r>
        <w:rPr>
          <w:rFonts w:ascii="Times New Roman" w:hint="eastAsia"/>
          <w:sz w:val="12"/>
          <w:szCs w:val="12"/>
        </w:rPr>
        <w:t xml:space="preserve"> Letter of Authorization as listed below:</w:t>
      </w:r>
    </w:p>
    <w:p w14:paraId="69F6BDF1" w14:textId="77206849" w:rsidR="00F61E9E" w:rsidRDefault="00F61E9E" w:rsidP="00F61E9E">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1. </w:t>
      </w:r>
      <w:r w:rsidRPr="00F61E9E">
        <w:rPr>
          <w:rFonts w:ascii="Times New Roman"/>
          <w:sz w:val="12"/>
          <w:szCs w:val="12"/>
        </w:rPr>
        <w:t>A</w:t>
      </w:r>
      <w:r w:rsidRPr="00F61E9E">
        <w:rPr>
          <w:rFonts w:ascii="Times New Roman" w:hint="eastAsia"/>
          <w:sz w:val="12"/>
          <w:szCs w:val="12"/>
        </w:rPr>
        <w:t xml:space="preserve">uthorized laboratories* using your product will include the test result </w:t>
      </w:r>
      <w:r>
        <w:rPr>
          <w:rFonts w:ascii="Times New Roman" w:hint="eastAsia"/>
          <w:sz w:val="12"/>
          <w:szCs w:val="12"/>
        </w:rPr>
        <w:t xml:space="preserve">reports, all authorized Fact Sheets. Under exigent circumstances, other appropriate methods for disseminating these Fact Sheets may be used, which may include mass media. </w:t>
      </w:r>
    </w:p>
    <w:p w14:paraId="314DB055" w14:textId="42FD96A7" w:rsidR="00F61E9E" w:rsidRDefault="00F61E9E" w:rsidP="00F61E9E">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2. Authorized laboratories using your product will use your product as outlined in the Instructions for Use. Deviations from the authorized procedures, including </w:t>
      </w:r>
      <w:r>
        <w:rPr>
          <w:rFonts w:ascii="Times New Roman"/>
          <w:sz w:val="12"/>
          <w:szCs w:val="12"/>
        </w:rPr>
        <w:t>the</w:t>
      </w:r>
      <w:r>
        <w:rPr>
          <w:rFonts w:ascii="Times New Roman" w:hint="eastAsia"/>
          <w:sz w:val="12"/>
          <w:szCs w:val="12"/>
        </w:rPr>
        <w:t xml:space="preserve"> </w:t>
      </w:r>
      <w:r>
        <w:rPr>
          <w:rFonts w:ascii="Times New Roman"/>
          <w:sz w:val="12"/>
          <w:szCs w:val="12"/>
        </w:rPr>
        <w:t>authorized</w:t>
      </w:r>
      <w:r>
        <w:rPr>
          <w:rFonts w:ascii="Times New Roman" w:hint="eastAsia"/>
          <w:sz w:val="12"/>
          <w:szCs w:val="12"/>
        </w:rPr>
        <w:t xml:space="preserve"> clinical specimen types, authorized control materials, authorized other </w:t>
      </w:r>
      <w:r>
        <w:rPr>
          <w:rFonts w:ascii="Times New Roman"/>
          <w:sz w:val="12"/>
          <w:szCs w:val="12"/>
        </w:rPr>
        <w:t>ancillary</w:t>
      </w:r>
      <w:r>
        <w:rPr>
          <w:rFonts w:ascii="Times New Roman" w:hint="eastAsia"/>
          <w:sz w:val="12"/>
          <w:szCs w:val="12"/>
        </w:rPr>
        <w:t xml:space="preserve"> reagents and authorized </w:t>
      </w:r>
      <w:r>
        <w:rPr>
          <w:rFonts w:ascii="Times New Roman"/>
          <w:sz w:val="12"/>
          <w:szCs w:val="12"/>
        </w:rPr>
        <w:t>materials</w:t>
      </w:r>
      <w:r>
        <w:rPr>
          <w:rFonts w:ascii="Times New Roman" w:hint="eastAsia"/>
          <w:sz w:val="12"/>
          <w:szCs w:val="12"/>
        </w:rPr>
        <w:t xml:space="preserve"> </w:t>
      </w:r>
      <w:r>
        <w:rPr>
          <w:rFonts w:ascii="Times New Roman"/>
          <w:sz w:val="12"/>
          <w:szCs w:val="12"/>
        </w:rPr>
        <w:t>required</w:t>
      </w:r>
      <w:r>
        <w:rPr>
          <w:rFonts w:ascii="Times New Roman" w:hint="eastAsia"/>
          <w:sz w:val="12"/>
          <w:szCs w:val="12"/>
        </w:rPr>
        <w:t xml:space="preserve"> to use your product are not permitted.  </w:t>
      </w:r>
    </w:p>
    <w:p w14:paraId="158965B4" w14:textId="01E88DEE" w:rsidR="00F61E9E" w:rsidRDefault="00F61E9E" w:rsidP="00F61E9E">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3. </w:t>
      </w:r>
      <w:r>
        <w:rPr>
          <w:rFonts w:ascii="Times New Roman"/>
          <w:sz w:val="12"/>
          <w:szCs w:val="12"/>
        </w:rPr>
        <w:t>Authorized</w:t>
      </w:r>
      <w:r>
        <w:rPr>
          <w:rFonts w:ascii="Times New Roman" w:hint="eastAsia"/>
          <w:sz w:val="12"/>
          <w:szCs w:val="12"/>
        </w:rPr>
        <w:t xml:space="preserve"> laboratories that receive your product will notify the relevant public health authorities of their intent to run your </w:t>
      </w:r>
      <w:r>
        <w:rPr>
          <w:rFonts w:ascii="Times New Roman"/>
          <w:sz w:val="12"/>
          <w:szCs w:val="12"/>
        </w:rPr>
        <w:t>product</w:t>
      </w:r>
      <w:r>
        <w:rPr>
          <w:rFonts w:ascii="Times New Roman" w:hint="eastAsia"/>
          <w:sz w:val="12"/>
          <w:szCs w:val="12"/>
        </w:rPr>
        <w:t xml:space="preserve"> prior to initiating testing. </w:t>
      </w:r>
    </w:p>
    <w:p w14:paraId="519995AA" w14:textId="4B14B70E" w:rsidR="00F61E9E" w:rsidRDefault="00F61E9E" w:rsidP="00F61E9E">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4. Authorized laboratories using your product will have a process in place for reporting test results to healthcare providers and </w:t>
      </w:r>
      <w:r>
        <w:rPr>
          <w:rFonts w:ascii="Times New Roman"/>
          <w:sz w:val="12"/>
          <w:szCs w:val="12"/>
        </w:rPr>
        <w:t>relevant</w:t>
      </w:r>
      <w:r>
        <w:rPr>
          <w:rFonts w:ascii="Times New Roman" w:hint="eastAsia"/>
          <w:sz w:val="12"/>
          <w:szCs w:val="12"/>
        </w:rPr>
        <w:t xml:space="preserve"> public health authorities, as </w:t>
      </w:r>
      <w:r>
        <w:rPr>
          <w:rFonts w:ascii="Times New Roman"/>
          <w:sz w:val="12"/>
          <w:szCs w:val="12"/>
        </w:rPr>
        <w:t>appropriate</w:t>
      </w:r>
      <w:r>
        <w:rPr>
          <w:rFonts w:ascii="Times New Roman" w:hint="eastAsia"/>
          <w:sz w:val="12"/>
          <w:szCs w:val="12"/>
        </w:rPr>
        <w:t xml:space="preserve">. </w:t>
      </w:r>
    </w:p>
    <w:p w14:paraId="74BF6C59" w14:textId="1D09443E" w:rsidR="00F61E9E" w:rsidRDefault="00F61E9E" w:rsidP="00F61E9E">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5. Authorized laboratories will collect information on the performance of your product and r</w:t>
      </w:r>
      <w:r w:rsidR="005855BA">
        <w:rPr>
          <w:rFonts w:ascii="Times New Roman" w:hint="eastAsia"/>
          <w:sz w:val="12"/>
          <w:szCs w:val="12"/>
        </w:rPr>
        <w:t>eport to DMD/OHT7-OIR/OPEQ/CDRH</w:t>
      </w:r>
      <w:r>
        <w:rPr>
          <w:rFonts w:ascii="Times New Roman" w:hint="eastAsia"/>
          <w:sz w:val="12"/>
          <w:szCs w:val="12"/>
        </w:rPr>
        <w:t>（</w:t>
      </w:r>
      <w:r>
        <w:rPr>
          <w:rFonts w:ascii="Times New Roman" w:hint="eastAsia"/>
          <w:sz w:val="12"/>
          <w:szCs w:val="12"/>
        </w:rPr>
        <w:t xml:space="preserve">via email: </w:t>
      </w:r>
      <w:r w:rsidRPr="00F61E9E">
        <w:rPr>
          <w:rFonts w:ascii="Times New Roman" w:hint="eastAsia"/>
          <w:sz w:val="12"/>
          <w:szCs w:val="12"/>
        </w:rPr>
        <w:t>CDRH-EUA-Reporting@fda.hhs.gov</w:t>
      </w:r>
      <w:r w:rsidRPr="00F61E9E">
        <w:rPr>
          <w:rFonts w:ascii="Times New Roman" w:hint="eastAsia"/>
          <w:sz w:val="12"/>
          <w:szCs w:val="12"/>
        </w:rPr>
        <w:t>）</w:t>
      </w:r>
      <w:r w:rsidRPr="001925C9">
        <w:rPr>
          <w:rFonts w:ascii="Times New Roman" w:hint="eastAsia"/>
          <w:sz w:val="12"/>
          <w:szCs w:val="12"/>
        </w:rPr>
        <w:t xml:space="preserve">and </w:t>
      </w:r>
      <w:r w:rsidR="0094297D" w:rsidRPr="001925C9">
        <w:rPr>
          <w:rFonts w:ascii="Times New Roman"/>
          <w:sz w:val="12"/>
          <w:szCs w:val="12"/>
        </w:rPr>
        <w:t>Assure Tech (Hangzhou C</w:t>
      </w:r>
      <w:r w:rsidR="00C059CB" w:rsidRPr="001925C9">
        <w:rPr>
          <w:rFonts w:ascii="Times New Roman"/>
          <w:sz w:val="12"/>
          <w:szCs w:val="12"/>
        </w:rPr>
        <w:t>o.</w:t>
      </w:r>
      <w:r w:rsidR="0094297D" w:rsidRPr="001925C9">
        <w:rPr>
          <w:rFonts w:ascii="Times New Roman"/>
          <w:sz w:val="12"/>
          <w:szCs w:val="12"/>
        </w:rPr>
        <w:t>,</w:t>
      </w:r>
      <w:r w:rsidR="00C059CB" w:rsidRPr="001925C9">
        <w:rPr>
          <w:rFonts w:ascii="Times New Roman"/>
          <w:sz w:val="12"/>
          <w:szCs w:val="12"/>
        </w:rPr>
        <w:t xml:space="preserve"> </w:t>
      </w:r>
      <w:r w:rsidR="0094297D" w:rsidRPr="001925C9">
        <w:rPr>
          <w:rFonts w:ascii="Times New Roman"/>
          <w:sz w:val="12"/>
          <w:szCs w:val="12"/>
        </w:rPr>
        <w:t>Ltd)</w:t>
      </w:r>
      <w:r w:rsidRPr="001925C9">
        <w:rPr>
          <w:rFonts w:ascii="Times New Roman" w:hint="eastAsia"/>
          <w:sz w:val="12"/>
          <w:szCs w:val="12"/>
        </w:rPr>
        <w:t xml:space="preserve">. (via email: </w:t>
      </w:r>
      <w:hyperlink r:id="rId23" w:history="1">
        <w:r w:rsidR="00577B72" w:rsidRPr="001925C9">
          <w:rPr>
            <w:rStyle w:val="Hyperlink"/>
            <w:rFonts w:ascii="Times New Roman"/>
            <w:sz w:val="12"/>
            <w:szCs w:val="12"/>
          </w:rPr>
          <w:t>contact@direagent.com</w:t>
        </w:r>
      </w:hyperlink>
      <w:r w:rsidR="00577B72" w:rsidRPr="001925C9">
        <w:rPr>
          <w:rFonts w:ascii="Times New Roman"/>
          <w:sz w:val="12"/>
          <w:szCs w:val="12"/>
        </w:rPr>
        <w:t>)</w:t>
      </w:r>
      <w:r w:rsidRPr="001925C9">
        <w:rPr>
          <w:rFonts w:ascii="Times New Roman" w:hint="eastAsia"/>
          <w:sz w:val="12"/>
          <w:szCs w:val="12"/>
        </w:rPr>
        <w:t xml:space="preserve"> any suspected </w:t>
      </w:r>
      <w:r w:rsidRPr="001925C9">
        <w:rPr>
          <w:rFonts w:ascii="Times New Roman"/>
          <w:sz w:val="12"/>
          <w:szCs w:val="12"/>
        </w:rPr>
        <w:t>occurrence</w:t>
      </w:r>
      <w:r w:rsidRPr="001925C9">
        <w:rPr>
          <w:rFonts w:ascii="Times New Roman" w:hint="eastAsia"/>
          <w:sz w:val="12"/>
          <w:szCs w:val="12"/>
        </w:rPr>
        <w:t xml:space="preserve"> of fal</w:t>
      </w:r>
      <w:r>
        <w:rPr>
          <w:rFonts w:ascii="Times New Roman" w:hint="eastAsia"/>
          <w:sz w:val="12"/>
          <w:szCs w:val="12"/>
        </w:rPr>
        <w:t xml:space="preserve">se reactive or false non-reactive results and significant deviations from the established performance characteristics of your product of which they become aware. </w:t>
      </w:r>
    </w:p>
    <w:p w14:paraId="1268AA06" w14:textId="65E73B39" w:rsidR="00F61E9E" w:rsidRDefault="00F61E9E" w:rsidP="00F61E9E">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6. All laboratory personnel using your product must be appropriately trained in immunoassay techniques and use appropriate laboratory and personal protective equipment when handling this kit and use your product in accordance with </w:t>
      </w:r>
      <w:r>
        <w:rPr>
          <w:rFonts w:ascii="Times New Roman"/>
          <w:sz w:val="12"/>
          <w:szCs w:val="12"/>
        </w:rPr>
        <w:t>the</w:t>
      </w:r>
      <w:r>
        <w:rPr>
          <w:rFonts w:ascii="Times New Roman" w:hint="eastAsia"/>
          <w:sz w:val="12"/>
          <w:szCs w:val="12"/>
        </w:rPr>
        <w:t xml:space="preserve"> authorized labeling. All laboratory personnel using the assay must also be trained in and be familiar with the interpretation of results of the product. </w:t>
      </w:r>
    </w:p>
    <w:p w14:paraId="48444B1A" w14:textId="73ABAF82" w:rsidR="00F61E9E" w:rsidRDefault="00F61E9E" w:rsidP="00F61E9E">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7. </w:t>
      </w:r>
      <w:r w:rsidR="00D750A1" w:rsidRPr="00C847FC">
        <w:rPr>
          <w:rFonts w:ascii="Times New Roman" w:eastAsia="Times New Roman"/>
          <w:bCs/>
          <w:sz w:val="12"/>
          <w:szCs w:val="12"/>
        </w:rPr>
        <w:t>Assure Tech. (Hangzhou Co., Ltd)</w:t>
      </w:r>
      <w:r w:rsidR="00D750A1">
        <w:rPr>
          <w:rFonts w:ascii="Times New Roman" w:eastAsia="Times New Roman"/>
          <w:b/>
          <w:bCs/>
          <w:sz w:val="12"/>
          <w:szCs w:val="12"/>
        </w:rPr>
        <w:t xml:space="preserve">, </w:t>
      </w:r>
      <w:r w:rsidR="00D750A1">
        <w:rPr>
          <w:rFonts w:ascii="Times New Roman"/>
          <w:sz w:val="12"/>
          <w:szCs w:val="12"/>
        </w:rPr>
        <w:t>a</w:t>
      </w:r>
      <w:r>
        <w:rPr>
          <w:rFonts w:ascii="Times New Roman"/>
          <w:sz w:val="12"/>
          <w:szCs w:val="12"/>
        </w:rPr>
        <w:t>uthorized</w:t>
      </w:r>
      <w:r>
        <w:rPr>
          <w:rFonts w:ascii="Times New Roman" w:hint="eastAsia"/>
          <w:sz w:val="12"/>
          <w:szCs w:val="12"/>
        </w:rPr>
        <w:t xml:space="preserve"> distributors, and authorized laboratories using your product will ensure that any records associated with this EUA are maintained until otherwise notified by FDA. </w:t>
      </w:r>
      <w:r>
        <w:rPr>
          <w:rFonts w:ascii="Times New Roman"/>
          <w:sz w:val="12"/>
          <w:szCs w:val="12"/>
        </w:rPr>
        <w:t>Such</w:t>
      </w:r>
      <w:r>
        <w:rPr>
          <w:rFonts w:ascii="Times New Roman" w:hint="eastAsia"/>
          <w:sz w:val="12"/>
          <w:szCs w:val="12"/>
        </w:rPr>
        <w:t xml:space="preserve"> records will be made available to FDA for inspection upon request. </w:t>
      </w:r>
    </w:p>
    <w:p w14:paraId="72D7E7EC" w14:textId="5CE91AAB" w:rsidR="00F61E9E" w:rsidRPr="00F61E9E" w:rsidRDefault="00292787" w:rsidP="00F61E9E">
      <w:pPr>
        <w:overflowPunct w:val="0"/>
        <w:autoSpaceDE w:val="0"/>
        <w:autoSpaceDN w:val="0"/>
        <w:adjustRightInd w:val="0"/>
        <w:spacing w:line="140" w:lineRule="exact"/>
        <w:textAlignment w:val="baseline"/>
        <w:rPr>
          <w:rFonts w:ascii="Times New Roman"/>
          <w:sz w:val="12"/>
          <w:szCs w:val="12"/>
        </w:rPr>
      </w:pPr>
      <w:r>
        <w:rPr>
          <w:rFonts w:ascii="Times New Roman" w:hint="eastAsia"/>
          <w:sz w:val="12"/>
          <w:szCs w:val="12"/>
        </w:rPr>
        <w:t xml:space="preserve">*The </w:t>
      </w:r>
      <w:r w:rsidR="00002750">
        <w:rPr>
          <w:rFonts w:ascii="Times New Roman" w:hint="eastAsia"/>
          <w:sz w:val="12"/>
          <w:szCs w:val="12"/>
        </w:rPr>
        <w:t>L</w:t>
      </w:r>
      <w:r>
        <w:rPr>
          <w:rFonts w:ascii="Times New Roman" w:hint="eastAsia"/>
          <w:sz w:val="12"/>
          <w:szCs w:val="12"/>
        </w:rPr>
        <w:t xml:space="preserve">etter of </w:t>
      </w:r>
      <w:r w:rsidR="00002750">
        <w:rPr>
          <w:rFonts w:ascii="Times New Roman" w:hint="eastAsia"/>
          <w:sz w:val="12"/>
          <w:szCs w:val="12"/>
        </w:rPr>
        <w:t>A</w:t>
      </w:r>
      <w:r>
        <w:rPr>
          <w:rFonts w:ascii="Times New Roman" w:hint="eastAsia"/>
          <w:sz w:val="12"/>
          <w:szCs w:val="12"/>
        </w:rPr>
        <w:t xml:space="preserve">uthorization refers to, </w:t>
      </w:r>
      <w:r>
        <w:rPr>
          <w:rFonts w:ascii="Times New Roman"/>
          <w:sz w:val="12"/>
          <w:szCs w:val="12"/>
        </w:rPr>
        <w:t>“</w:t>
      </w:r>
      <w:r>
        <w:rPr>
          <w:rFonts w:ascii="Times New Roman" w:hint="eastAsia"/>
          <w:sz w:val="12"/>
          <w:szCs w:val="12"/>
        </w:rPr>
        <w:t xml:space="preserve">Laboratories certified under the Clinical Laboratory Improvement </w:t>
      </w:r>
      <w:r>
        <w:rPr>
          <w:rFonts w:ascii="Times New Roman"/>
          <w:sz w:val="12"/>
          <w:szCs w:val="12"/>
        </w:rPr>
        <w:t>Amendments</w:t>
      </w:r>
      <w:r>
        <w:rPr>
          <w:rFonts w:ascii="Times New Roman" w:hint="eastAsia"/>
          <w:sz w:val="12"/>
          <w:szCs w:val="12"/>
        </w:rPr>
        <w:t xml:space="preserve"> of 1988 (CLIA), 42 U.S.C. </w:t>
      </w:r>
      <w:r w:rsidRPr="00292787">
        <w:rPr>
          <w:rFonts w:ascii="Times New Roman"/>
          <w:sz w:val="12"/>
          <w:szCs w:val="12"/>
        </w:rPr>
        <w:t>§263a</w:t>
      </w:r>
      <w:r>
        <w:rPr>
          <w:rFonts w:ascii="Times New Roman" w:hint="eastAsia"/>
          <w:sz w:val="12"/>
          <w:szCs w:val="12"/>
        </w:rPr>
        <w:t>, that meet the requirements to perform moderate or high complexity tests</w:t>
      </w:r>
      <w:r>
        <w:rPr>
          <w:rFonts w:ascii="Times New Roman"/>
          <w:sz w:val="12"/>
          <w:szCs w:val="12"/>
        </w:rPr>
        <w:t>”</w:t>
      </w:r>
      <w:r>
        <w:rPr>
          <w:rFonts w:ascii="Times New Roman" w:hint="eastAsia"/>
          <w:sz w:val="12"/>
          <w:szCs w:val="12"/>
        </w:rPr>
        <w:t xml:space="preserve"> as </w:t>
      </w:r>
      <w:r>
        <w:rPr>
          <w:rFonts w:ascii="Times New Roman"/>
          <w:sz w:val="12"/>
          <w:szCs w:val="12"/>
        </w:rPr>
        <w:t>“</w:t>
      </w:r>
      <w:r>
        <w:rPr>
          <w:rFonts w:ascii="Times New Roman" w:hint="eastAsia"/>
          <w:sz w:val="12"/>
          <w:szCs w:val="12"/>
        </w:rPr>
        <w:t>authorized laboratories</w:t>
      </w:r>
      <w:r>
        <w:rPr>
          <w:rFonts w:ascii="Times New Roman"/>
          <w:sz w:val="12"/>
          <w:szCs w:val="12"/>
        </w:rPr>
        <w:t>”</w:t>
      </w:r>
      <w:r>
        <w:rPr>
          <w:rFonts w:ascii="Times New Roman" w:hint="eastAsia"/>
          <w:sz w:val="12"/>
          <w:szCs w:val="12"/>
        </w:rPr>
        <w:t xml:space="preserve">. </w:t>
      </w:r>
    </w:p>
    <w:p w14:paraId="4AF37962" w14:textId="77777777" w:rsidR="00CF06B7" w:rsidRDefault="00CF06B7">
      <w:pPr>
        <w:overflowPunct w:val="0"/>
        <w:autoSpaceDE w:val="0"/>
        <w:autoSpaceDN w:val="0"/>
        <w:adjustRightInd w:val="0"/>
        <w:spacing w:line="140" w:lineRule="exact"/>
        <w:ind w:left="360"/>
        <w:textAlignment w:val="baseline"/>
        <w:rPr>
          <w:rFonts w:ascii="Times New Roman"/>
          <w:sz w:val="12"/>
          <w:szCs w:val="12"/>
        </w:rPr>
      </w:pPr>
    </w:p>
    <w:p w14:paraId="79848CE6" w14:textId="77777777" w:rsidR="00CF06B7" w:rsidRPr="00026446" w:rsidRDefault="00D84484">
      <w:pPr>
        <w:pStyle w:val="Heading3"/>
        <w:spacing w:line="140" w:lineRule="exact"/>
        <w:rPr>
          <w:rFonts w:eastAsia="SimSun"/>
          <w:color w:val="auto"/>
          <w:szCs w:val="22"/>
          <w:lang w:val="en-US"/>
        </w:rPr>
      </w:pPr>
      <w:r w:rsidRPr="00026446">
        <w:rPr>
          <w:rFonts w:eastAsia="SimSun" w:hint="eastAsia"/>
          <w:color w:val="auto"/>
          <w:szCs w:val="22"/>
          <w:lang w:val="en-US"/>
        </w:rPr>
        <w:t>PERFORMANCE CHARACTERISTICS</w:t>
      </w:r>
    </w:p>
    <w:p w14:paraId="6D1E4DC3" w14:textId="66C228CA" w:rsidR="00CF06B7" w:rsidRDefault="00D84484">
      <w:pPr>
        <w:spacing w:beforeLines="50" w:before="122" w:line="180" w:lineRule="exact"/>
        <w:rPr>
          <w:rFonts w:ascii="Times New Roman" w:eastAsia="SimSun"/>
          <w:b/>
          <w:sz w:val="12"/>
          <w:szCs w:val="12"/>
          <w:u w:val="thick"/>
        </w:rPr>
      </w:pPr>
      <w:r>
        <w:rPr>
          <w:rFonts w:ascii="Times New Roman"/>
          <w:b/>
          <w:sz w:val="12"/>
          <w:szCs w:val="12"/>
          <w:u w:val="thick"/>
        </w:rPr>
        <w:t xml:space="preserve">Clinical </w:t>
      </w:r>
      <w:r>
        <w:rPr>
          <w:rFonts w:ascii="Times New Roman" w:eastAsia="SimSun"/>
          <w:b/>
          <w:sz w:val="12"/>
          <w:szCs w:val="12"/>
          <w:u w:val="thick"/>
        </w:rPr>
        <w:t>Evaluation</w:t>
      </w:r>
    </w:p>
    <w:p w14:paraId="672E4135" w14:textId="5595FC20" w:rsidR="00D35F4D" w:rsidRPr="00787D13" w:rsidRDefault="00384B58">
      <w:pPr>
        <w:spacing w:beforeLines="50" w:before="122" w:line="180" w:lineRule="exact"/>
        <w:rPr>
          <w:rFonts w:ascii="Times New Roman" w:eastAsia="SimSun"/>
          <w:b/>
          <w:sz w:val="12"/>
          <w:szCs w:val="12"/>
        </w:rPr>
      </w:pPr>
      <w:r>
        <w:rPr>
          <w:rFonts w:ascii="Times New Roman" w:eastAsia="SimSun" w:hint="eastAsia"/>
          <w:b/>
          <w:sz w:val="12"/>
          <w:szCs w:val="12"/>
        </w:rPr>
        <w:t>Study I</w:t>
      </w:r>
    </w:p>
    <w:p w14:paraId="47D29A67" w14:textId="7559B1C1" w:rsidR="00787D13" w:rsidRPr="00EA1CAE" w:rsidRDefault="00C123DF" w:rsidP="004A69FC">
      <w:pPr>
        <w:overflowPunct w:val="0"/>
        <w:autoSpaceDE w:val="0"/>
        <w:autoSpaceDN w:val="0"/>
        <w:adjustRightInd w:val="0"/>
        <w:spacing w:line="140" w:lineRule="exact"/>
        <w:textAlignment w:val="baseline"/>
        <w:rPr>
          <w:rFonts w:ascii="Times New Roman" w:eastAsia="SimSun"/>
          <w:strike/>
          <w:color w:val="FF0000"/>
          <w:sz w:val="12"/>
          <w:szCs w:val="12"/>
        </w:rPr>
      </w:pPr>
      <w:r>
        <w:rPr>
          <w:rFonts w:ascii="Times New Roman" w:eastAsia="SimSun"/>
          <w:sz w:val="12"/>
          <w:szCs w:val="12"/>
        </w:rPr>
        <w:t xml:space="preserve">Total of 61 positive and 105 negative serum or venous whole blood samples were collected at 4 different study sites. These samples were tested with </w:t>
      </w:r>
      <w:r w:rsidR="004A69FC">
        <w:rPr>
          <w:rFonts w:ascii="Times New Roman" w:eastAsia="SimSun"/>
          <w:sz w:val="12"/>
          <w:szCs w:val="12"/>
        </w:rPr>
        <w:t xml:space="preserve">both </w:t>
      </w:r>
      <w:r>
        <w:rPr>
          <w:rFonts w:ascii="Times New Roman" w:eastAsia="SimSun"/>
          <w:sz w:val="12"/>
          <w:szCs w:val="12"/>
        </w:rPr>
        <w:t>RT-PCR method for SARS-CoV-2</w:t>
      </w:r>
      <w:r w:rsidRPr="00C96A6E">
        <w:rPr>
          <w:rFonts w:ascii="Times New Roman" w:eastAsia="SimSun"/>
          <w:sz w:val="12"/>
          <w:szCs w:val="12"/>
        </w:rPr>
        <w:t xml:space="preserve"> </w:t>
      </w:r>
      <w:r w:rsidR="004A69FC">
        <w:rPr>
          <w:rFonts w:ascii="Times New Roman" w:eastAsia="SimSun"/>
          <w:sz w:val="12"/>
          <w:szCs w:val="12"/>
        </w:rPr>
        <w:t xml:space="preserve">infection </w:t>
      </w:r>
      <w:r>
        <w:rPr>
          <w:rFonts w:ascii="Times New Roman" w:eastAsia="SimSun"/>
          <w:sz w:val="12"/>
          <w:szCs w:val="12"/>
        </w:rPr>
        <w:t xml:space="preserve">and </w:t>
      </w:r>
      <w:r w:rsidR="004A69FC">
        <w:rPr>
          <w:rFonts w:ascii="Times New Roman" w:eastAsia="SimSun"/>
          <w:sz w:val="12"/>
          <w:szCs w:val="12"/>
        </w:rPr>
        <w:t xml:space="preserve">Assure </w:t>
      </w:r>
      <w:r w:rsidRPr="00C96A6E">
        <w:rPr>
          <w:rFonts w:ascii="Times New Roman" w:eastAsia="SimSun"/>
          <w:sz w:val="12"/>
          <w:szCs w:val="12"/>
        </w:rPr>
        <w:t>COVID-19</w:t>
      </w:r>
      <w:r w:rsidR="004A69FC">
        <w:rPr>
          <w:rFonts w:ascii="Times New Roman" w:eastAsia="SimSun"/>
          <w:sz w:val="12"/>
          <w:szCs w:val="12"/>
        </w:rPr>
        <w:t xml:space="preserve"> IgG/IgM Rapid Test device for antibodies. The obtained sensitivity and specificity results are summarized in following tables.</w:t>
      </w:r>
      <w:r w:rsidRPr="00C96A6E">
        <w:rPr>
          <w:rFonts w:ascii="Times New Roman" w:eastAsia="SimSun"/>
          <w:sz w:val="12"/>
          <w:szCs w:val="12"/>
        </w:rPr>
        <w:t xml:space="preserve"> </w:t>
      </w:r>
    </w:p>
    <w:p w14:paraId="1F15A408" w14:textId="0A5F8D4B" w:rsidR="00787D13" w:rsidRPr="00DE22BB" w:rsidRDefault="00DE22BB">
      <w:pPr>
        <w:rPr>
          <w:rFonts w:ascii="Times New Roman"/>
          <w:b/>
          <w:color w:val="000000" w:themeColor="text1"/>
          <w:sz w:val="12"/>
          <w:szCs w:val="12"/>
        </w:rPr>
      </w:pPr>
      <w:r w:rsidRPr="005646E1">
        <w:rPr>
          <w:rFonts w:ascii="Times New Roman"/>
          <w:b/>
          <w:color w:val="000000" w:themeColor="text1"/>
          <w:sz w:val="12"/>
          <w:szCs w:val="12"/>
        </w:rPr>
        <w:t xml:space="preserve">Table 1. </w:t>
      </w:r>
      <w:r w:rsidR="00787D13" w:rsidRPr="005646E1">
        <w:rPr>
          <w:rFonts w:ascii="Times New Roman" w:hint="eastAsia"/>
          <w:b/>
          <w:color w:val="000000" w:themeColor="text1"/>
          <w:sz w:val="12"/>
          <w:szCs w:val="12"/>
        </w:rPr>
        <w:t>IgG PPA</w:t>
      </w:r>
      <w:r w:rsidRPr="005646E1">
        <w:rPr>
          <w:rFonts w:ascii="Times New Roman" w:eastAsia="SimSun"/>
          <w:sz w:val="12"/>
          <w:szCs w:val="12"/>
        </w:rPr>
        <w:t xml:space="preserve"> </w:t>
      </w:r>
      <w:r w:rsidRPr="005646E1">
        <w:rPr>
          <w:rFonts w:ascii="Times New Roman" w:eastAsia="SimSun"/>
          <w:b/>
          <w:sz w:val="12"/>
          <w:szCs w:val="12"/>
        </w:rPr>
        <w:t xml:space="preserve">for the </w:t>
      </w:r>
      <w:r w:rsidRPr="005646E1">
        <w:rPr>
          <w:rFonts w:ascii="Times New Roman" w:hint="eastAsia"/>
          <w:b/>
          <w:sz w:val="12"/>
          <w:szCs w:val="12"/>
        </w:rPr>
        <w:t>Assure COVID-19 IgG/IgM Rapid Test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815"/>
        <w:gridCol w:w="716"/>
        <w:gridCol w:w="962"/>
        <w:gridCol w:w="647"/>
        <w:gridCol w:w="854"/>
      </w:tblGrid>
      <w:tr w:rsidR="00CD78C9" w:rsidRPr="00B033FC" w14:paraId="4340D6E8" w14:textId="7578B1CC" w:rsidTr="00EA1CAE">
        <w:trPr>
          <w:trHeight w:val="548"/>
          <w:jc w:val="center"/>
        </w:trPr>
        <w:tc>
          <w:tcPr>
            <w:tcW w:w="1065" w:type="dxa"/>
            <w:vMerge w:val="restart"/>
            <w:shd w:val="clear" w:color="auto" w:fill="D9D9D9" w:themeFill="background1" w:themeFillShade="D9"/>
            <w:vAlign w:val="center"/>
          </w:tcPr>
          <w:p w14:paraId="41C636AA" w14:textId="45B3853E" w:rsidR="00CD78C9" w:rsidRPr="00945A7F" w:rsidRDefault="00CD78C9">
            <w:pPr>
              <w:jc w:val="center"/>
              <w:rPr>
                <w:rFonts w:ascii="Times New Roman"/>
                <w:b/>
                <w:color w:val="000000" w:themeColor="text1"/>
                <w:sz w:val="12"/>
                <w:szCs w:val="12"/>
              </w:rPr>
            </w:pPr>
            <w:r w:rsidRPr="00945A7F">
              <w:rPr>
                <w:rFonts w:ascii="Times New Roman"/>
                <w:b/>
                <w:color w:val="000000" w:themeColor="text1"/>
                <w:sz w:val="12"/>
                <w:szCs w:val="12"/>
              </w:rPr>
              <w:t>Site</w:t>
            </w:r>
          </w:p>
        </w:tc>
        <w:tc>
          <w:tcPr>
            <w:tcW w:w="825" w:type="dxa"/>
            <w:vMerge w:val="restart"/>
            <w:shd w:val="clear" w:color="auto" w:fill="D9D9D9" w:themeFill="background1" w:themeFillShade="D9"/>
            <w:vAlign w:val="center"/>
          </w:tcPr>
          <w:p w14:paraId="6C2BE41B" w14:textId="4C386577" w:rsidR="00CD78C9" w:rsidRPr="00945A7F" w:rsidRDefault="00CD78C9">
            <w:pPr>
              <w:jc w:val="center"/>
              <w:rPr>
                <w:rFonts w:ascii="Times New Roman"/>
                <w:color w:val="000000" w:themeColor="text1"/>
                <w:sz w:val="12"/>
                <w:szCs w:val="12"/>
              </w:rPr>
            </w:pPr>
            <w:r w:rsidRPr="00945A7F">
              <w:rPr>
                <w:rFonts w:ascii="Times New Roman"/>
                <w:b/>
                <w:bCs/>
                <w:sz w:val="12"/>
                <w:szCs w:val="12"/>
              </w:rPr>
              <w:t>Days post symptom onset</w:t>
            </w:r>
          </w:p>
        </w:tc>
        <w:tc>
          <w:tcPr>
            <w:tcW w:w="724" w:type="dxa"/>
            <w:vMerge w:val="restart"/>
            <w:shd w:val="clear" w:color="auto" w:fill="D9D9D9" w:themeFill="background1" w:themeFillShade="D9"/>
            <w:vAlign w:val="center"/>
          </w:tcPr>
          <w:p w14:paraId="31E814E6" w14:textId="608D8888" w:rsidR="00CD78C9" w:rsidRPr="00945A7F" w:rsidRDefault="00CD78C9">
            <w:pPr>
              <w:jc w:val="center"/>
              <w:rPr>
                <w:rFonts w:ascii="Times New Roman"/>
                <w:color w:val="000000" w:themeColor="text1"/>
                <w:sz w:val="12"/>
                <w:szCs w:val="12"/>
              </w:rPr>
            </w:pPr>
            <w:r w:rsidRPr="00945A7F">
              <w:rPr>
                <w:rFonts w:ascii="Times New Roman"/>
                <w:b/>
                <w:bCs/>
                <w:sz w:val="12"/>
                <w:szCs w:val="12"/>
              </w:rPr>
              <w:t># PCR Positive</w:t>
            </w:r>
            <w:r w:rsidRPr="00945A7F">
              <w:rPr>
                <w:rFonts w:ascii="Times New Roman"/>
                <w:b/>
                <w:bCs/>
                <w:sz w:val="12"/>
                <w:szCs w:val="12"/>
              </w:rPr>
              <w:br/>
              <w:t>at any time</w:t>
            </w:r>
          </w:p>
        </w:tc>
        <w:tc>
          <w:tcPr>
            <w:tcW w:w="2519" w:type="dxa"/>
            <w:gridSpan w:val="3"/>
            <w:shd w:val="clear" w:color="auto" w:fill="D9D9D9" w:themeFill="background1" w:themeFillShade="D9"/>
            <w:vAlign w:val="center"/>
          </w:tcPr>
          <w:p w14:paraId="3249E89B" w14:textId="7CFB6BD6" w:rsidR="00CD78C9" w:rsidRPr="00945A7F" w:rsidRDefault="00CD78C9">
            <w:pPr>
              <w:jc w:val="center"/>
              <w:rPr>
                <w:rFonts w:ascii="Times New Roman"/>
                <w:color w:val="000000" w:themeColor="text1"/>
                <w:sz w:val="12"/>
                <w:szCs w:val="12"/>
              </w:rPr>
            </w:pPr>
            <w:r w:rsidRPr="00945A7F">
              <w:rPr>
                <w:rFonts w:ascii="Times New Roman"/>
                <w:b/>
                <w:sz w:val="12"/>
                <w:szCs w:val="12"/>
              </w:rPr>
              <w:t>Assure COVID-19 IgG/IgM Rapid Test Device</w:t>
            </w:r>
          </w:p>
        </w:tc>
      </w:tr>
      <w:tr w:rsidR="00CD78C9" w:rsidRPr="00B033FC" w14:paraId="2B020F13" w14:textId="77777777" w:rsidTr="00EA1CAE">
        <w:trPr>
          <w:trHeight w:val="426"/>
          <w:jc w:val="center"/>
        </w:trPr>
        <w:tc>
          <w:tcPr>
            <w:tcW w:w="1065" w:type="dxa"/>
            <w:vMerge/>
            <w:shd w:val="clear" w:color="auto" w:fill="D9D9D9" w:themeFill="background1" w:themeFillShade="D9"/>
            <w:vAlign w:val="center"/>
          </w:tcPr>
          <w:p w14:paraId="52FD23BD" w14:textId="77777777" w:rsidR="00CD78C9" w:rsidRPr="00945A7F" w:rsidRDefault="00CD78C9">
            <w:pPr>
              <w:jc w:val="center"/>
              <w:rPr>
                <w:rFonts w:ascii="Times New Roman"/>
                <w:b/>
                <w:color w:val="000000" w:themeColor="text1"/>
                <w:sz w:val="12"/>
                <w:szCs w:val="12"/>
              </w:rPr>
            </w:pPr>
          </w:p>
        </w:tc>
        <w:tc>
          <w:tcPr>
            <w:tcW w:w="825" w:type="dxa"/>
            <w:vMerge/>
            <w:shd w:val="clear" w:color="auto" w:fill="D9D9D9" w:themeFill="background1" w:themeFillShade="D9"/>
            <w:vAlign w:val="center"/>
          </w:tcPr>
          <w:p w14:paraId="5450F242" w14:textId="77777777" w:rsidR="00CD78C9" w:rsidRPr="00945A7F" w:rsidRDefault="00CD78C9">
            <w:pPr>
              <w:jc w:val="center"/>
              <w:rPr>
                <w:rFonts w:ascii="Times New Roman"/>
                <w:b/>
                <w:bCs/>
                <w:sz w:val="12"/>
                <w:szCs w:val="12"/>
              </w:rPr>
            </w:pPr>
          </w:p>
        </w:tc>
        <w:tc>
          <w:tcPr>
            <w:tcW w:w="724" w:type="dxa"/>
            <w:vMerge/>
            <w:shd w:val="clear" w:color="auto" w:fill="D9D9D9" w:themeFill="background1" w:themeFillShade="D9"/>
            <w:vAlign w:val="center"/>
          </w:tcPr>
          <w:p w14:paraId="406ABDB2" w14:textId="77777777" w:rsidR="00CD78C9" w:rsidRPr="00945A7F" w:rsidRDefault="00CD78C9">
            <w:pPr>
              <w:jc w:val="center"/>
              <w:rPr>
                <w:rFonts w:ascii="Times New Roman"/>
                <w:b/>
                <w:bCs/>
                <w:sz w:val="12"/>
                <w:szCs w:val="12"/>
              </w:rPr>
            </w:pPr>
          </w:p>
        </w:tc>
        <w:tc>
          <w:tcPr>
            <w:tcW w:w="986" w:type="dxa"/>
            <w:shd w:val="clear" w:color="auto" w:fill="D9D9D9" w:themeFill="background1" w:themeFillShade="D9"/>
            <w:vAlign w:val="center"/>
          </w:tcPr>
          <w:p w14:paraId="59FC28D5" w14:textId="76BBC78D" w:rsidR="00CD78C9" w:rsidRPr="00945A7F" w:rsidRDefault="00CD78C9">
            <w:pPr>
              <w:jc w:val="center"/>
              <w:rPr>
                <w:rFonts w:ascii="Times New Roman"/>
                <w:b/>
                <w:color w:val="000000" w:themeColor="text1"/>
                <w:sz w:val="12"/>
                <w:szCs w:val="12"/>
              </w:rPr>
            </w:pPr>
            <w:r w:rsidRPr="00945A7F">
              <w:rPr>
                <w:rFonts w:ascii="Times New Roman"/>
                <w:b/>
                <w:color w:val="000000" w:themeColor="text1"/>
                <w:sz w:val="12"/>
                <w:szCs w:val="12"/>
              </w:rPr>
              <w:t>#Positive Results</w:t>
            </w:r>
          </w:p>
        </w:tc>
        <w:tc>
          <w:tcPr>
            <w:tcW w:w="657" w:type="dxa"/>
            <w:shd w:val="clear" w:color="auto" w:fill="D9D9D9" w:themeFill="background1" w:themeFillShade="D9"/>
            <w:vAlign w:val="center"/>
          </w:tcPr>
          <w:p w14:paraId="39B7650C" w14:textId="0F25502A" w:rsidR="00CD78C9" w:rsidRPr="00945A7F" w:rsidRDefault="00CD78C9">
            <w:pPr>
              <w:jc w:val="center"/>
              <w:rPr>
                <w:rFonts w:ascii="Times New Roman"/>
                <w:b/>
                <w:color w:val="000000" w:themeColor="text1"/>
                <w:sz w:val="12"/>
                <w:szCs w:val="12"/>
              </w:rPr>
            </w:pPr>
            <w:r w:rsidRPr="00945A7F">
              <w:rPr>
                <w:rFonts w:ascii="Times New Roman"/>
                <w:b/>
                <w:color w:val="000000" w:themeColor="text1"/>
                <w:sz w:val="12"/>
                <w:szCs w:val="12"/>
              </w:rPr>
              <w:t>PPA</w:t>
            </w:r>
          </w:p>
        </w:tc>
        <w:tc>
          <w:tcPr>
            <w:tcW w:w="876" w:type="dxa"/>
            <w:shd w:val="clear" w:color="auto" w:fill="D9D9D9" w:themeFill="background1" w:themeFillShade="D9"/>
            <w:vAlign w:val="center"/>
          </w:tcPr>
          <w:p w14:paraId="4BAC45E4" w14:textId="7EC21FCF" w:rsidR="00CD78C9" w:rsidRPr="00945A7F" w:rsidRDefault="00CD78C9">
            <w:pPr>
              <w:jc w:val="center"/>
              <w:rPr>
                <w:rFonts w:ascii="Times New Roman"/>
                <w:b/>
                <w:color w:val="000000" w:themeColor="text1"/>
                <w:sz w:val="12"/>
                <w:szCs w:val="12"/>
              </w:rPr>
            </w:pPr>
            <w:r w:rsidRPr="00945A7F">
              <w:rPr>
                <w:rFonts w:ascii="Times New Roman"/>
                <w:b/>
                <w:color w:val="000000" w:themeColor="text1"/>
                <w:sz w:val="12"/>
                <w:szCs w:val="12"/>
              </w:rPr>
              <w:t>95%CI</w:t>
            </w:r>
          </w:p>
        </w:tc>
      </w:tr>
      <w:tr w:rsidR="00CD78C9" w:rsidRPr="00B033FC" w14:paraId="2E848101" w14:textId="586D41C6" w:rsidTr="00EA1CAE">
        <w:trPr>
          <w:jc w:val="center"/>
        </w:trPr>
        <w:tc>
          <w:tcPr>
            <w:tcW w:w="1065" w:type="dxa"/>
            <w:vMerge w:val="restart"/>
            <w:vAlign w:val="center"/>
          </w:tcPr>
          <w:p w14:paraId="0536F35B" w14:textId="77777777" w:rsidR="00CD78C9" w:rsidRPr="00945A7F" w:rsidRDefault="00CD78C9">
            <w:pPr>
              <w:jc w:val="center"/>
              <w:rPr>
                <w:rFonts w:ascii="Times New Roman"/>
                <w:b/>
                <w:color w:val="000000" w:themeColor="text1"/>
                <w:sz w:val="12"/>
                <w:szCs w:val="12"/>
              </w:rPr>
            </w:pPr>
            <w:r w:rsidRPr="00945A7F">
              <w:rPr>
                <w:rFonts w:ascii="Times New Roman"/>
                <w:b/>
                <w:color w:val="000000" w:themeColor="text1"/>
                <w:sz w:val="12"/>
                <w:szCs w:val="12"/>
              </w:rPr>
              <w:t>(Site 1+3+4)</w:t>
            </w:r>
          </w:p>
          <w:p w14:paraId="636CFAC9" w14:textId="06680F47" w:rsidR="00CD78C9" w:rsidRPr="00945A7F" w:rsidRDefault="00CD78C9">
            <w:pPr>
              <w:jc w:val="center"/>
              <w:rPr>
                <w:rFonts w:ascii="Times New Roman"/>
                <w:b/>
                <w:color w:val="000000" w:themeColor="text1"/>
                <w:sz w:val="12"/>
                <w:szCs w:val="12"/>
              </w:rPr>
            </w:pPr>
            <w:r w:rsidRPr="00945A7F">
              <w:rPr>
                <w:rFonts w:ascii="Times New Roman"/>
                <w:b/>
                <w:color w:val="000000" w:themeColor="text1"/>
                <w:sz w:val="12"/>
                <w:szCs w:val="12"/>
              </w:rPr>
              <w:t>Serum</w:t>
            </w:r>
          </w:p>
        </w:tc>
        <w:tc>
          <w:tcPr>
            <w:tcW w:w="825" w:type="dxa"/>
            <w:vAlign w:val="center"/>
          </w:tcPr>
          <w:p w14:paraId="66DDD353" w14:textId="4801FD19" w:rsidR="00CD78C9" w:rsidRPr="00945A7F" w:rsidRDefault="00CD78C9">
            <w:pPr>
              <w:jc w:val="center"/>
              <w:rPr>
                <w:rFonts w:ascii="Times New Roman"/>
                <w:color w:val="000000" w:themeColor="text1"/>
                <w:sz w:val="12"/>
                <w:szCs w:val="12"/>
              </w:rPr>
            </w:pPr>
            <w:r w:rsidRPr="00945A7F">
              <w:rPr>
                <w:rFonts w:ascii="Times New Roman"/>
                <w:sz w:val="12"/>
                <w:szCs w:val="12"/>
              </w:rPr>
              <w:t>≤7</w:t>
            </w:r>
          </w:p>
        </w:tc>
        <w:tc>
          <w:tcPr>
            <w:tcW w:w="724" w:type="dxa"/>
            <w:vAlign w:val="center"/>
          </w:tcPr>
          <w:p w14:paraId="6700FCFA" w14:textId="3B733016"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8</w:t>
            </w:r>
          </w:p>
        </w:tc>
        <w:tc>
          <w:tcPr>
            <w:tcW w:w="986" w:type="dxa"/>
            <w:vAlign w:val="center"/>
          </w:tcPr>
          <w:p w14:paraId="2BF5FD41" w14:textId="0144C845"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7</w:t>
            </w:r>
          </w:p>
        </w:tc>
        <w:tc>
          <w:tcPr>
            <w:tcW w:w="657" w:type="dxa"/>
            <w:vAlign w:val="center"/>
          </w:tcPr>
          <w:p w14:paraId="170178D0" w14:textId="67163AD9"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87.5%</w:t>
            </w:r>
          </w:p>
        </w:tc>
        <w:tc>
          <w:tcPr>
            <w:tcW w:w="876" w:type="dxa"/>
            <w:vAlign w:val="center"/>
          </w:tcPr>
          <w:p w14:paraId="72811CFF" w14:textId="374A8077" w:rsidR="00CD78C9" w:rsidRPr="00945A7F" w:rsidRDefault="00CD78C9">
            <w:pPr>
              <w:jc w:val="center"/>
              <w:rPr>
                <w:rFonts w:ascii="Times New Roman"/>
                <w:color w:val="000000" w:themeColor="text1"/>
                <w:sz w:val="12"/>
                <w:szCs w:val="12"/>
              </w:rPr>
            </w:pPr>
            <w:r w:rsidRPr="00945A7F">
              <w:rPr>
                <w:rFonts w:ascii="Times New Roman"/>
                <w:sz w:val="12"/>
                <w:szCs w:val="12"/>
              </w:rPr>
              <w:t>52.9%-97.8%</w:t>
            </w:r>
          </w:p>
        </w:tc>
      </w:tr>
      <w:tr w:rsidR="00CD78C9" w:rsidRPr="00B033FC" w14:paraId="07BB06A9" w14:textId="5E425B32" w:rsidTr="00EA1CAE">
        <w:trPr>
          <w:jc w:val="center"/>
        </w:trPr>
        <w:tc>
          <w:tcPr>
            <w:tcW w:w="1065" w:type="dxa"/>
            <w:vMerge/>
            <w:vAlign w:val="center"/>
          </w:tcPr>
          <w:p w14:paraId="2C55DB1B" w14:textId="77777777" w:rsidR="00CD78C9" w:rsidRPr="00945A7F" w:rsidRDefault="00CD78C9">
            <w:pPr>
              <w:jc w:val="center"/>
              <w:rPr>
                <w:rFonts w:ascii="Times New Roman"/>
                <w:b/>
                <w:color w:val="000000" w:themeColor="text1"/>
                <w:sz w:val="12"/>
                <w:szCs w:val="12"/>
              </w:rPr>
            </w:pPr>
          </w:p>
        </w:tc>
        <w:tc>
          <w:tcPr>
            <w:tcW w:w="825" w:type="dxa"/>
            <w:vAlign w:val="center"/>
          </w:tcPr>
          <w:p w14:paraId="74C3692E" w14:textId="25226800"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8-14</w:t>
            </w:r>
          </w:p>
        </w:tc>
        <w:tc>
          <w:tcPr>
            <w:tcW w:w="724" w:type="dxa"/>
            <w:vAlign w:val="center"/>
          </w:tcPr>
          <w:p w14:paraId="07A709C4" w14:textId="0149D753"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15</w:t>
            </w:r>
          </w:p>
        </w:tc>
        <w:tc>
          <w:tcPr>
            <w:tcW w:w="986" w:type="dxa"/>
            <w:vAlign w:val="center"/>
          </w:tcPr>
          <w:p w14:paraId="2E2E6804" w14:textId="712E50EB"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13</w:t>
            </w:r>
          </w:p>
        </w:tc>
        <w:tc>
          <w:tcPr>
            <w:tcW w:w="657" w:type="dxa"/>
            <w:vAlign w:val="center"/>
          </w:tcPr>
          <w:p w14:paraId="455923B1" w14:textId="0B526299"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86.7%</w:t>
            </w:r>
          </w:p>
        </w:tc>
        <w:tc>
          <w:tcPr>
            <w:tcW w:w="876" w:type="dxa"/>
            <w:vAlign w:val="center"/>
          </w:tcPr>
          <w:p w14:paraId="32B1710B" w14:textId="1B25B970" w:rsidR="00CD78C9" w:rsidRPr="00945A7F" w:rsidRDefault="00CD78C9">
            <w:pPr>
              <w:jc w:val="center"/>
              <w:rPr>
                <w:rFonts w:ascii="Times New Roman"/>
                <w:color w:val="000000" w:themeColor="text1"/>
                <w:sz w:val="12"/>
                <w:szCs w:val="12"/>
              </w:rPr>
            </w:pPr>
            <w:r w:rsidRPr="00945A7F">
              <w:rPr>
                <w:rFonts w:ascii="Times New Roman"/>
                <w:sz w:val="12"/>
                <w:szCs w:val="12"/>
              </w:rPr>
              <w:t>62.1%-96.3%</w:t>
            </w:r>
          </w:p>
        </w:tc>
      </w:tr>
      <w:tr w:rsidR="00CD78C9" w:rsidRPr="00B033FC" w14:paraId="36F9AF1D" w14:textId="5C4A91B4" w:rsidTr="00EA1CAE">
        <w:trPr>
          <w:jc w:val="center"/>
        </w:trPr>
        <w:tc>
          <w:tcPr>
            <w:tcW w:w="1065" w:type="dxa"/>
            <w:vMerge/>
            <w:vAlign w:val="center"/>
          </w:tcPr>
          <w:p w14:paraId="1BFCE6D0" w14:textId="77777777" w:rsidR="00CD78C9" w:rsidRPr="00945A7F" w:rsidRDefault="00CD78C9">
            <w:pPr>
              <w:jc w:val="center"/>
              <w:rPr>
                <w:rFonts w:ascii="Times New Roman"/>
                <w:b/>
                <w:color w:val="000000" w:themeColor="text1"/>
                <w:sz w:val="12"/>
                <w:szCs w:val="12"/>
              </w:rPr>
            </w:pPr>
          </w:p>
        </w:tc>
        <w:tc>
          <w:tcPr>
            <w:tcW w:w="825" w:type="dxa"/>
            <w:vAlign w:val="center"/>
          </w:tcPr>
          <w:p w14:paraId="502F6B77" w14:textId="2ABDBD2D" w:rsidR="00CD78C9" w:rsidRPr="00945A7F" w:rsidRDefault="00CD78C9">
            <w:pPr>
              <w:jc w:val="center"/>
              <w:rPr>
                <w:rFonts w:ascii="Times New Roman"/>
                <w:color w:val="000000" w:themeColor="text1"/>
                <w:sz w:val="12"/>
                <w:szCs w:val="12"/>
              </w:rPr>
            </w:pPr>
            <w:r w:rsidRPr="00945A7F">
              <w:rPr>
                <w:rFonts w:ascii="Times New Roman"/>
                <w:sz w:val="12"/>
                <w:szCs w:val="12"/>
              </w:rPr>
              <w:t>≥15</w:t>
            </w:r>
          </w:p>
        </w:tc>
        <w:tc>
          <w:tcPr>
            <w:tcW w:w="724" w:type="dxa"/>
            <w:vAlign w:val="center"/>
          </w:tcPr>
          <w:p w14:paraId="463A8D05" w14:textId="1D41C2C5"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25</w:t>
            </w:r>
          </w:p>
        </w:tc>
        <w:tc>
          <w:tcPr>
            <w:tcW w:w="986" w:type="dxa"/>
            <w:vAlign w:val="center"/>
          </w:tcPr>
          <w:p w14:paraId="4F40DC05" w14:textId="617A2CF1"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25</w:t>
            </w:r>
          </w:p>
        </w:tc>
        <w:tc>
          <w:tcPr>
            <w:tcW w:w="657" w:type="dxa"/>
            <w:vAlign w:val="center"/>
          </w:tcPr>
          <w:p w14:paraId="0645988B" w14:textId="27E73104" w:rsidR="00CD78C9" w:rsidRPr="00945A7F" w:rsidRDefault="00CD78C9">
            <w:pPr>
              <w:jc w:val="center"/>
              <w:rPr>
                <w:rFonts w:ascii="Times New Roman"/>
                <w:color w:val="000000" w:themeColor="text1"/>
                <w:sz w:val="12"/>
                <w:szCs w:val="12"/>
              </w:rPr>
            </w:pPr>
            <w:r w:rsidRPr="00945A7F">
              <w:rPr>
                <w:rFonts w:ascii="Times New Roman"/>
                <w:color w:val="000000" w:themeColor="text1"/>
                <w:sz w:val="12"/>
                <w:szCs w:val="12"/>
              </w:rPr>
              <w:t>100%</w:t>
            </w:r>
          </w:p>
        </w:tc>
        <w:tc>
          <w:tcPr>
            <w:tcW w:w="876" w:type="dxa"/>
            <w:vAlign w:val="center"/>
          </w:tcPr>
          <w:p w14:paraId="33C49702" w14:textId="7FD2F0E5" w:rsidR="00CD78C9" w:rsidRPr="00945A7F" w:rsidRDefault="00CD78C9">
            <w:pPr>
              <w:jc w:val="center"/>
              <w:rPr>
                <w:rFonts w:ascii="Times New Roman"/>
                <w:color w:val="000000" w:themeColor="text1"/>
                <w:sz w:val="12"/>
                <w:szCs w:val="12"/>
              </w:rPr>
            </w:pPr>
            <w:r w:rsidRPr="00945A7F">
              <w:rPr>
                <w:rFonts w:ascii="Times New Roman"/>
                <w:sz w:val="12"/>
                <w:szCs w:val="12"/>
              </w:rPr>
              <w:t>86.7%-100%</w:t>
            </w:r>
          </w:p>
        </w:tc>
      </w:tr>
      <w:tr w:rsidR="003A0BF1" w:rsidRPr="00B033FC" w14:paraId="112551EB" w14:textId="17E201CB" w:rsidTr="00EA1CAE">
        <w:trPr>
          <w:trHeight w:val="215"/>
          <w:jc w:val="center"/>
        </w:trPr>
        <w:tc>
          <w:tcPr>
            <w:tcW w:w="1065" w:type="dxa"/>
            <w:vMerge w:val="restart"/>
            <w:vAlign w:val="center"/>
          </w:tcPr>
          <w:p w14:paraId="6711DFA9" w14:textId="77777777" w:rsidR="003A0BF1" w:rsidRPr="00945A7F" w:rsidRDefault="003A0BF1" w:rsidP="00CD78C9">
            <w:pPr>
              <w:contextualSpacing/>
              <w:jc w:val="center"/>
              <w:rPr>
                <w:rFonts w:ascii="Times New Roman"/>
                <w:b/>
                <w:sz w:val="12"/>
                <w:szCs w:val="12"/>
              </w:rPr>
            </w:pPr>
            <w:r w:rsidRPr="00945A7F">
              <w:rPr>
                <w:rFonts w:ascii="Times New Roman"/>
                <w:b/>
                <w:sz w:val="12"/>
                <w:szCs w:val="12"/>
              </w:rPr>
              <w:t>(Site 2)</w:t>
            </w:r>
          </w:p>
          <w:p w14:paraId="2CFB2E34" w14:textId="33BE53C0" w:rsidR="003A0BF1" w:rsidRPr="00945A7F" w:rsidRDefault="003A0BF1" w:rsidP="00CD78C9">
            <w:pPr>
              <w:jc w:val="center"/>
              <w:rPr>
                <w:rFonts w:ascii="Times New Roman"/>
                <w:b/>
                <w:color w:val="000000" w:themeColor="text1"/>
                <w:sz w:val="12"/>
                <w:szCs w:val="12"/>
              </w:rPr>
            </w:pPr>
            <w:r w:rsidRPr="00945A7F">
              <w:rPr>
                <w:rFonts w:ascii="Times New Roman"/>
                <w:b/>
                <w:sz w:val="12"/>
                <w:szCs w:val="12"/>
              </w:rPr>
              <w:t>Venous Whole Blood</w:t>
            </w:r>
          </w:p>
        </w:tc>
        <w:tc>
          <w:tcPr>
            <w:tcW w:w="825" w:type="dxa"/>
            <w:vAlign w:val="center"/>
          </w:tcPr>
          <w:p w14:paraId="3B284C32" w14:textId="02C7015D" w:rsidR="003A0BF1" w:rsidRPr="00945A7F" w:rsidRDefault="003A0BF1" w:rsidP="00CD78C9">
            <w:pPr>
              <w:jc w:val="center"/>
              <w:rPr>
                <w:rFonts w:ascii="Times New Roman"/>
                <w:color w:val="000000" w:themeColor="text1"/>
                <w:sz w:val="12"/>
                <w:szCs w:val="12"/>
              </w:rPr>
            </w:pPr>
            <w:r w:rsidRPr="00945A7F">
              <w:rPr>
                <w:rFonts w:ascii="Times New Roman"/>
                <w:sz w:val="12"/>
                <w:szCs w:val="12"/>
              </w:rPr>
              <w:t>≤7</w:t>
            </w:r>
          </w:p>
        </w:tc>
        <w:tc>
          <w:tcPr>
            <w:tcW w:w="724" w:type="dxa"/>
            <w:vAlign w:val="center"/>
          </w:tcPr>
          <w:p w14:paraId="6ACDAF58" w14:textId="16588E7F" w:rsidR="003A0BF1" w:rsidRPr="00945A7F" w:rsidRDefault="003A0BF1" w:rsidP="00CD78C9">
            <w:pPr>
              <w:jc w:val="center"/>
              <w:rPr>
                <w:rFonts w:ascii="Times New Roman"/>
                <w:color w:val="000000" w:themeColor="text1"/>
                <w:sz w:val="12"/>
                <w:szCs w:val="12"/>
              </w:rPr>
            </w:pPr>
            <w:r w:rsidRPr="00945A7F">
              <w:rPr>
                <w:rFonts w:ascii="Times New Roman"/>
                <w:color w:val="000000" w:themeColor="text1"/>
                <w:sz w:val="12"/>
                <w:szCs w:val="12"/>
              </w:rPr>
              <w:t>1</w:t>
            </w:r>
          </w:p>
        </w:tc>
        <w:tc>
          <w:tcPr>
            <w:tcW w:w="986" w:type="dxa"/>
            <w:vAlign w:val="center"/>
          </w:tcPr>
          <w:p w14:paraId="13FFE2B3" w14:textId="13528FD5" w:rsidR="003A0BF1" w:rsidRPr="00945A7F" w:rsidRDefault="003A0BF1">
            <w:pPr>
              <w:jc w:val="center"/>
              <w:rPr>
                <w:rFonts w:ascii="Times New Roman"/>
                <w:color w:val="000000" w:themeColor="text1"/>
                <w:sz w:val="12"/>
                <w:szCs w:val="12"/>
              </w:rPr>
            </w:pPr>
            <w:r w:rsidRPr="00945A7F">
              <w:rPr>
                <w:rFonts w:ascii="Times New Roman"/>
                <w:color w:val="000000" w:themeColor="text1"/>
                <w:sz w:val="12"/>
                <w:szCs w:val="12"/>
              </w:rPr>
              <w:t>1</w:t>
            </w:r>
          </w:p>
        </w:tc>
        <w:tc>
          <w:tcPr>
            <w:tcW w:w="657" w:type="dxa"/>
            <w:vAlign w:val="center"/>
          </w:tcPr>
          <w:p w14:paraId="5AA899E8" w14:textId="7B1A36C2" w:rsidR="003A0BF1" w:rsidRPr="00945A7F" w:rsidRDefault="003A0BF1">
            <w:pPr>
              <w:jc w:val="center"/>
              <w:rPr>
                <w:rFonts w:ascii="Times New Roman"/>
                <w:color w:val="000000" w:themeColor="text1"/>
                <w:sz w:val="12"/>
                <w:szCs w:val="12"/>
              </w:rPr>
            </w:pPr>
            <w:r w:rsidRPr="00945A7F">
              <w:rPr>
                <w:rFonts w:ascii="Times New Roman"/>
                <w:color w:val="000000" w:themeColor="text1"/>
                <w:sz w:val="12"/>
                <w:szCs w:val="12"/>
              </w:rPr>
              <w:t>100%</w:t>
            </w:r>
          </w:p>
        </w:tc>
        <w:tc>
          <w:tcPr>
            <w:tcW w:w="876" w:type="dxa"/>
            <w:vAlign w:val="center"/>
          </w:tcPr>
          <w:p w14:paraId="546B88F5" w14:textId="13302AD9" w:rsidR="003A0BF1" w:rsidRPr="00945A7F" w:rsidRDefault="003A0BF1">
            <w:pPr>
              <w:jc w:val="center"/>
              <w:rPr>
                <w:rFonts w:ascii="Times New Roman"/>
                <w:color w:val="000000" w:themeColor="text1"/>
                <w:sz w:val="12"/>
                <w:szCs w:val="12"/>
              </w:rPr>
            </w:pPr>
            <w:r w:rsidRPr="00945A7F">
              <w:rPr>
                <w:rFonts w:ascii="Times New Roman"/>
                <w:sz w:val="12"/>
                <w:szCs w:val="12"/>
              </w:rPr>
              <w:t>20.7%-100%</w:t>
            </w:r>
          </w:p>
        </w:tc>
      </w:tr>
      <w:tr w:rsidR="003A0BF1" w:rsidRPr="00B033FC" w14:paraId="42F7CEE9" w14:textId="77777777" w:rsidTr="00EA1CAE">
        <w:trPr>
          <w:trHeight w:val="254"/>
          <w:jc w:val="center"/>
        </w:trPr>
        <w:tc>
          <w:tcPr>
            <w:tcW w:w="1065" w:type="dxa"/>
            <w:vMerge/>
            <w:vAlign w:val="center"/>
          </w:tcPr>
          <w:p w14:paraId="5EDC0759" w14:textId="77777777" w:rsidR="003A0BF1" w:rsidRPr="00945A7F" w:rsidRDefault="003A0BF1" w:rsidP="00CD78C9">
            <w:pPr>
              <w:contextualSpacing/>
              <w:jc w:val="center"/>
              <w:rPr>
                <w:rFonts w:ascii="Times New Roman"/>
                <w:b/>
                <w:sz w:val="12"/>
                <w:szCs w:val="12"/>
              </w:rPr>
            </w:pPr>
          </w:p>
        </w:tc>
        <w:tc>
          <w:tcPr>
            <w:tcW w:w="825" w:type="dxa"/>
            <w:vAlign w:val="center"/>
          </w:tcPr>
          <w:p w14:paraId="3A12CCB5" w14:textId="06B68AD1" w:rsidR="003A0BF1" w:rsidRPr="00945A7F" w:rsidRDefault="003A0BF1" w:rsidP="00CD78C9">
            <w:pPr>
              <w:jc w:val="center"/>
              <w:rPr>
                <w:rFonts w:ascii="Times New Roman"/>
                <w:color w:val="000000" w:themeColor="text1"/>
                <w:sz w:val="12"/>
                <w:szCs w:val="12"/>
              </w:rPr>
            </w:pPr>
            <w:r w:rsidRPr="00945A7F">
              <w:rPr>
                <w:rFonts w:ascii="Times New Roman"/>
                <w:color w:val="000000" w:themeColor="text1"/>
                <w:sz w:val="12"/>
                <w:szCs w:val="12"/>
              </w:rPr>
              <w:t>8-14</w:t>
            </w:r>
          </w:p>
        </w:tc>
        <w:tc>
          <w:tcPr>
            <w:tcW w:w="724" w:type="dxa"/>
            <w:vAlign w:val="center"/>
          </w:tcPr>
          <w:p w14:paraId="7E441165" w14:textId="5E5F677D" w:rsidR="003A0BF1" w:rsidRPr="00945A7F" w:rsidRDefault="003A0BF1" w:rsidP="00CD78C9">
            <w:pPr>
              <w:jc w:val="center"/>
              <w:rPr>
                <w:rFonts w:ascii="Times New Roman"/>
                <w:color w:val="000000" w:themeColor="text1"/>
                <w:sz w:val="12"/>
                <w:szCs w:val="12"/>
              </w:rPr>
            </w:pPr>
            <w:r w:rsidRPr="00945A7F">
              <w:rPr>
                <w:rFonts w:ascii="Times New Roman"/>
                <w:color w:val="000000" w:themeColor="text1"/>
                <w:sz w:val="12"/>
                <w:szCs w:val="12"/>
              </w:rPr>
              <w:t>3</w:t>
            </w:r>
          </w:p>
        </w:tc>
        <w:tc>
          <w:tcPr>
            <w:tcW w:w="986" w:type="dxa"/>
            <w:vAlign w:val="center"/>
          </w:tcPr>
          <w:p w14:paraId="145C4123" w14:textId="6164AD20" w:rsidR="003A0BF1" w:rsidRPr="00945A7F" w:rsidRDefault="003A0BF1">
            <w:pPr>
              <w:jc w:val="center"/>
              <w:rPr>
                <w:rFonts w:ascii="Times New Roman"/>
                <w:color w:val="000000" w:themeColor="text1"/>
                <w:sz w:val="12"/>
                <w:szCs w:val="12"/>
              </w:rPr>
            </w:pPr>
            <w:r w:rsidRPr="00945A7F">
              <w:rPr>
                <w:rFonts w:ascii="Times New Roman"/>
                <w:color w:val="000000" w:themeColor="text1"/>
                <w:sz w:val="12"/>
                <w:szCs w:val="12"/>
              </w:rPr>
              <w:t>3</w:t>
            </w:r>
          </w:p>
        </w:tc>
        <w:tc>
          <w:tcPr>
            <w:tcW w:w="657" w:type="dxa"/>
            <w:vAlign w:val="center"/>
          </w:tcPr>
          <w:p w14:paraId="323B8F7E" w14:textId="37B399C0" w:rsidR="003A0BF1" w:rsidRPr="00945A7F" w:rsidRDefault="003A0BF1">
            <w:pPr>
              <w:jc w:val="center"/>
              <w:rPr>
                <w:rFonts w:ascii="Times New Roman"/>
                <w:color w:val="000000" w:themeColor="text1"/>
                <w:sz w:val="12"/>
                <w:szCs w:val="12"/>
              </w:rPr>
            </w:pPr>
            <w:r w:rsidRPr="00945A7F">
              <w:rPr>
                <w:rFonts w:ascii="Times New Roman"/>
                <w:color w:val="000000" w:themeColor="text1"/>
                <w:sz w:val="12"/>
                <w:szCs w:val="12"/>
              </w:rPr>
              <w:t>100%</w:t>
            </w:r>
          </w:p>
        </w:tc>
        <w:tc>
          <w:tcPr>
            <w:tcW w:w="876" w:type="dxa"/>
            <w:vAlign w:val="center"/>
          </w:tcPr>
          <w:p w14:paraId="31FC9BF5" w14:textId="6CBAA7E3" w:rsidR="003A0BF1" w:rsidRPr="00945A7F" w:rsidRDefault="003A0BF1">
            <w:pPr>
              <w:jc w:val="center"/>
              <w:rPr>
                <w:rFonts w:ascii="Times New Roman"/>
                <w:color w:val="000000" w:themeColor="text1"/>
                <w:sz w:val="12"/>
                <w:szCs w:val="12"/>
              </w:rPr>
            </w:pPr>
            <w:r w:rsidRPr="00945A7F">
              <w:rPr>
                <w:rFonts w:ascii="Times New Roman"/>
                <w:sz w:val="12"/>
                <w:szCs w:val="12"/>
              </w:rPr>
              <w:t>43.9%-100%</w:t>
            </w:r>
          </w:p>
        </w:tc>
      </w:tr>
      <w:tr w:rsidR="003A0BF1" w:rsidRPr="00B033FC" w14:paraId="2B3AADC8" w14:textId="77777777" w:rsidTr="00EA1CAE">
        <w:trPr>
          <w:trHeight w:val="233"/>
          <w:jc w:val="center"/>
        </w:trPr>
        <w:tc>
          <w:tcPr>
            <w:tcW w:w="1065" w:type="dxa"/>
            <w:vMerge/>
            <w:vAlign w:val="center"/>
          </w:tcPr>
          <w:p w14:paraId="52250C59" w14:textId="77777777" w:rsidR="003A0BF1" w:rsidRPr="00945A7F" w:rsidRDefault="003A0BF1" w:rsidP="00CD78C9">
            <w:pPr>
              <w:contextualSpacing/>
              <w:jc w:val="center"/>
              <w:rPr>
                <w:rFonts w:ascii="Times New Roman"/>
                <w:b/>
                <w:sz w:val="12"/>
                <w:szCs w:val="12"/>
              </w:rPr>
            </w:pPr>
          </w:p>
        </w:tc>
        <w:tc>
          <w:tcPr>
            <w:tcW w:w="825" w:type="dxa"/>
            <w:vAlign w:val="center"/>
          </w:tcPr>
          <w:p w14:paraId="72579D2D" w14:textId="2F958693" w:rsidR="003A0BF1" w:rsidRPr="00945A7F" w:rsidRDefault="003A0BF1" w:rsidP="00CD78C9">
            <w:pPr>
              <w:jc w:val="center"/>
              <w:rPr>
                <w:rFonts w:ascii="Times New Roman"/>
                <w:color w:val="000000" w:themeColor="text1"/>
                <w:sz w:val="12"/>
                <w:szCs w:val="12"/>
              </w:rPr>
            </w:pPr>
            <w:r w:rsidRPr="00945A7F">
              <w:rPr>
                <w:rFonts w:ascii="Times New Roman"/>
                <w:sz w:val="12"/>
                <w:szCs w:val="12"/>
              </w:rPr>
              <w:t>≥15</w:t>
            </w:r>
          </w:p>
        </w:tc>
        <w:tc>
          <w:tcPr>
            <w:tcW w:w="724" w:type="dxa"/>
            <w:vAlign w:val="center"/>
          </w:tcPr>
          <w:p w14:paraId="2635C84D" w14:textId="0D121FF3" w:rsidR="003A0BF1" w:rsidRPr="00945A7F" w:rsidRDefault="003A0BF1" w:rsidP="00CD78C9">
            <w:pPr>
              <w:jc w:val="center"/>
              <w:rPr>
                <w:rFonts w:ascii="Times New Roman"/>
                <w:color w:val="000000" w:themeColor="text1"/>
                <w:sz w:val="12"/>
                <w:szCs w:val="12"/>
              </w:rPr>
            </w:pPr>
            <w:r w:rsidRPr="00945A7F">
              <w:rPr>
                <w:rFonts w:ascii="Times New Roman"/>
                <w:color w:val="000000" w:themeColor="text1"/>
                <w:sz w:val="12"/>
                <w:szCs w:val="12"/>
              </w:rPr>
              <w:t>9</w:t>
            </w:r>
          </w:p>
        </w:tc>
        <w:tc>
          <w:tcPr>
            <w:tcW w:w="986" w:type="dxa"/>
            <w:vAlign w:val="center"/>
          </w:tcPr>
          <w:p w14:paraId="7851FCAC" w14:textId="0B605238" w:rsidR="003A0BF1" w:rsidRPr="00945A7F" w:rsidRDefault="003A0BF1">
            <w:pPr>
              <w:jc w:val="center"/>
              <w:rPr>
                <w:rFonts w:ascii="Times New Roman"/>
                <w:color w:val="000000" w:themeColor="text1"/>
                <w:sz w:val="12"/>
                <w:szCs w:val="12"/>
              </w:rPr>
            </w:pPr>
            <w:r w:rsidRPr="00945A7F">
              <w:rPr>
                <w:rFonts w:ascii="Times New Roman"/>
                <w:color w:val="000000" w:themeColor="text1"/>
                <w:sz w:val="12"/>
                <w:szCs w:val="12"/>
              </w:rPr>
              <w:t>9</w:t>
            </w:r>
          </w:p>
        </w:tc>
        <w:tc>
          <w:tcPr>
            <w:tcW w:w="657" w:type="dxa"/>
            <w:vAlign w:val="center"/>
          </w:tcPr>
          <w:p w14:paraId="7C57565B" w14:textId="3BADBDAE" w:rsidR="003A0BF1" w:rsidRPr="00945A7F" w:rsidRDefault="003A0BF1">
            <w:pPr>
              <w:jc w:val="center"/>
              <w:rPr>
                <w:rFonts w:ascii="Times New Roman"/>
                <w:color w:val="000000" w:themeColor="text1"/>
                <w:sz w:val="12"/>
                <w:szCs w:val="12"/>
              </w:rPr>
            </w:pPr>
            <w:r w:rsidRPr="00945A7F">
              <w:rPr>
                <w:rFonts w:ascii="Times New Roman"/>
                <w:color w:val="000000" w:themeColor="text1"/>
                <w:sz w:val="12"/>
                <w:szCs w:val="12"/>
              </w:rPr>
              <w:t>100%</w:t>
            </w:r>
          </w:p>
        </w:tc>
        <w:tc>
          <w:tcPr>
            <w:tcW w:w="876" w:type="dxa"/>
            <w:vAlign w:val="center"/>
          </w:tcPr>
          <w:p w14:paraId="3D98D546" w14:textId="721473DD" w:rsidR="003A0BF1" w:rsidRPr="00945A7F" w:rsidRDefault="003A0BF1">
            <w:pPr>
              <w:jc w:val="center"/>
              <w:rPr>
                <w:rFonts w:ascii="Times New Roman"/>
                <w:color w:val="000000" w:themeColor="text1"/>
                <w:sz w:val="12"/>
                <w:szCs w:val="12"/>
              </w:rPr>
            </w:pPr>
            <w:r w:rsidRPr="00945A7F">
              <w:rPr>
                <w:rFonts w:ascii="Times New Roman"/>
                <w:sz w:val="12"/>
                <w:szCs w:val="12"/>
              </w:rPr>
              <w:t>70.1%-100%</w:t>
            </w:r>
          </w:p>
        </w:tc>
      </w:tr>
      <w:tr w:rsidR="003A0BF1" w:rsidRPr="00B033FC" w14:paraId="69DE40D9" w14:textId="77777777" w:rsidTr="00EA1CAE">
        <w:trPr>
          <w:trHeight w:val="368"/>
          <w:jc w:val="center"/>
        </w:trPr>
        <w:tc>
          <w:tcPr>
            <w:tcW w:w="1065" w:type="dxa"/>
            <w:vAlign w:val="center"/>
          </w:tcPr>
          <w:p w14:paraId="6AE15A07" w14:textId="0880FC7B" w:rsidR="003A0BF1" w:rsidRPr="00945A7F" w:rsidRDefault="003A0BF1" w:rsidP="00945A7F">
            <w:pPr>
              <w:contextualSpacing/>
              <w:jc w:val="center"/>
              <w:rPr>
                <w:rFonts w:ascii="Times New Roman"/>
                <w:b/>
                <w:sz w:val="12"/>
                <w:szCs w:val="12"/>
              </w:rPr>
            </w:pPr>
            <w:r w:rsidRPr="00945A7F">
              <w:rPr>
                <w:rFonts w:ascii="Times New Roman"/>
                <w:b/>
                <w:sz w:val="12"/>
                <w:szCs w:val="12"/>
              </w:rPr>
              <w:t>Combined Sites (Serum + Blood)</w:t>
            </w:r>
          </w:p>
        </w:tc>
        <w:tc>
          <w:tcPr>
            <w:tcW w:w="825" w:type="dxa"/>
            <w:vAlign w:val="center"/>
          </w:tcPr>
          <w:p w14:paraId="6247BD3F" w14:textId="44DE1FBF" w:rsidR="003A0BF1" w:rsidRPr="00945A7F" w:rsidRDefault="003A0BF1" w:rsidP="00CD78C9">
            <w:pPr>
              <w:jc w:val="center"/>
              <w:rPr>
                <w:rFonts w:ascii="Times New Roman"/>
                <w:sz w:val="12"/>
                <w:szCs w:val="12"/>
              </w:rPr>
            </w:pPr>
            <w:r w:rsidRPr="00945A7F">
              <w:rPr>
                <w:rFonts w:ascii="Times New Roman"/>
                <w:sz w:val="12"/>
                <w:szCs w:val="12"/>
              </w:rPr>
              <w:t>-</w:t>
            </w:r>
          </w:p>
        </w:tc>
        <w:tc>
          <w:tcPr>
            <w:tcW w:w="724" w:type="dxa"/>
            <w:vAlign w:val="center"/>
          </w:tcPr>
          <w:p w14:paraId="7533F9B8" w14:textId="505A7AC5" w:rsidR="003A0BF1" w:rsidRPr="00945A7F" w:rsidRDefault="003A0BF1" w:rsidP="00CD78C9">
            <w:pPr>
              <w:jc w:val="center"/>
              <w:rPr>
                <w:rFonts w:ascii="Times New Roman"/>
                <w:color w:val="000000" w:themeColor="text1"/>
                <w:sz w:val="12"/>
                <w:szCs w:val="12"/>
              </w:rPr>
            </w:pPr>
            <w:r w:rsidRPr="00945A7F">
              <w:rPr>
                <w:rFonts w:ascii="Times New Roman"/>
                <w:color w:val="000000" w:themeColor="text1"/>
                <w:sz w:val="12"/>
                <w:szCs w:val="12"/>
              </w:rPr>
              <w:t>61</w:t>
            </w:r>
          </w:p>
        </w:tc>
        <w:tc>
          <w:tcPr>
            <w:tcW w:w="986" w:type="dxa"/>
            <w:vAlign w:val="center"/>
          </w:tcPr>
          <w:p w14:paraId="65FFEDE5" w14:textId="2C9715E1" w:rsidR="003A0BF1" w:rsidRPr="00945A7F" w:rsidRDefault="003A0BF1">
            <w:pPr>
              <w:jc w:val="center"/>
              <w:rPr>
                <w:rFonts w:ascii="Times New Roman"/>
                <w:color w:val="000000" w:themeColor="text1"/>
                <w:sz w:val="12"/>
                <w:szCs w:val="12"/>
              </w:rPr>
            </w:pPr>
            <w:r w:rsidRPr="00945A7F">
              <w:rPr>
                <w:rFonts w:ascii="Times New Roman"/>
                <w:color w:val="000000" w:themeColor="text1"/>
                <w:sz w:val="12"/>
                <w:szCs w:val="12"/>
              </w:rPr>
              <w:t>58</w:t>
            </w:r>
          </w:p>
        </w:tc>
        <w:tc>
          <w:tcPr>
            <w:tcW w:w="657" w:type="dxa"/>
            <w:vAlign w:val="center"/>
          </w:tcPr>
          <w:p w14:paraId="26565351" w14:textId="6AB099B3" w:rsidR="003A0BF1" w:rsidRPr="00945A7F" w:rsidRDefault="003A0BF1">
            <w:pPr>
              <w:jc w:val="center"/>
              <w:rPr>
                <w:rFonts w:ascii="Times New Roman"/>
                <w:color w:val="000000" w:themeColor="text1"/>
                <w:sz w:val="12"/>
                <w:szCs w:val="12"/>
              </w:rPr>
            </w:pPr>
            <w:r w:rsidRPr="00945A7F">
              <w:rPr>
                <w:rFonts w:ascii="Times New Roman"/>
                <w:color w:val="000000" w:themeColor="text1"/>
                <w:sz w:val="12"/>
                <w:szCs w:val="12"/>
              </w:rPr>
              <w:t>95.1%</w:t>
            </w:r>
          </w:p>
        </w:tc>
        <w:tc>
          <w:tcPr>
            <w:tcW w:w="876" w:type="dxa"/>
            <w:vAlign w:val="center"/>
          </w:tcPr>
          <w:p w14:paraId="58C71E32" w14:textId="39990DC1" w:rsidR="003A0BF1" w:rsidRPr="00945A7F" w:rsidRDefault="003A0BF1">
            <w:pPr>
              <w:jc w:val="center"/>
              <w:rPr>
                <w:rFonts w:ascii="Times New Roman"/>
                <w:sz w:val="12"/>
                <w:szCs w:val="12"/>
              </w:rPr>
            </w:pPr>
            <w:r w:rsidRPr="00945A7F">
              <w:rPr>
                <w:rFonts w:ascii="Times New Roman"/>
                <w:sz w:val="12"/>
                <w:szCs w:val="12"/>
              </w:rPr>
              <w:t>86.5%-98.3%</w:t>
            </w:r>
          </w:p>
        </w:tc>
      </w:tr>
    </w:tbl>
    <w:p w14:paraId="00B1129A" w14:textId="77777777" w:rsidR="00787D13" w:rsidRPr="00B033FC" w:rsidRDefault="00787D13">
      <w:pPr>
        <w:overflowPunct w:val="0"/>
        <w:autoSpaceDE w:val="0"/>
        <w:autoSpaceDN w:val="0"/>
        <w:adjustRightInd w:val="0"/>
        <w:spacing w:line="140" w:lineRule="exact"/>
        <w:ind w:leftChars="551" w:left="992" w:firstLine="1"/>
        <w:textAlignment w:val="baseline"/>
        <w:rPr>
          <w:rFonts w:ascii="Times New Roman" w:eastAsia="SimSun"/>
          <w:strike/>
          <w:sz w:val="12"/>
          <w:szCs w:val="12"/>
        </w:rPr>
      </w:pPr>
    </w:p>
    <w:p w14:paraId="12788F7E" w14:textId="36258DB8" w:rsidR="00DE22BB" w:rsidRPr="00DE22BB" w:rsidRDefault="00DE22BB" w:rsidP="00DE22BB">
      <w:pPr>
        <w:rPr>
          <w:rFonts w:ascii="Times New Roman"/>
          <w:b/>
          <w:color w:val="000000" w:themeColor="text1"/>
          <w:sz w:val="12"/>
          <w:szCs w:val="12"/>
        </w:rPr>
      </w:pPr>
      <w:r w:rsidRPr="005646E1">
        <w:rPr>
          <w:rFonts w:ascii="Times New Roman"/>
          <w:b/>
          <w:color w:val="000000" w:themeColor="text1"/>
          <w:sz w:val="12"/>
          <w:szCs w:val="12"/>
        </w:rPr>
        <w:t xml:space="preserve">Table 2. </w:t>
      </w:r>
      <w:r w:rsidR="00FD415B" w:rsidRPr="005646E1">
        <w:rPr>
          <w:rFonts w:ascii="Times New Roman" w:hint="eastAsia"/>
          <w:b/>
          <w:color w:val="000000" w:themeColor="text1"/>
          <w:sz w:val="12"/>
          <w:szCs w:val="12"/>
        </w:rPr>
        <w:t>IgG NPA</w:t>
      </w:r>
      <w:r w:rsidRPr="005646E1">
        <w:rPr>
          <w:rFonts w:ascii="Times New Roman" w:eastAsia="SimSun"/>
          <w:b/>
          <w:sz w:val="12"/>
          <w:szCs w:val="12"/>
        </w:rPr>
        <w:t xml:space="preserve"> for the </w:t>
      </w:r>
      <w:r w:rsidRPr="005646E1">
        <w:rPr>
          <w:rFonts w:ascii="Times New Roman" w:hint="eastAsia"/>
          <w:b/>
          <w:sz w:val="12"/>
          <w:szCs w:val="12"/>
        </w:rPr>
        <w:t>Assure COVID-19 IgG/IgM Rapid Test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720"/>
        <w:gridCol w:w="872"/>
        <w:gridCol w:w="736"/>
        <w:gridCol w:w="870"/>
      </w:tblGrid>
      <w:tr w:rsidR="00FD415B" w:rsidRPr="00B033FC" w14:paraId="76998674" w14:textId="77777777" w:rsidTr="00DE22BB">
        <w:trPr>
          <w:trHeight w:val="548"/>
          <w:jc w:val="center"/>
        </w:trPr>
        <w:tc>
          <w:tcPr>
            <w:tcW w:w="1837" w:type="dxa"/>
            <w:vMerge w:val="restart"/>
            <w:shd w:val="clear" w:color="auto" w:fill="D9D9D9" w:themeFill="background1" w:themeFillShade="D9"/>
            <w:vAlign w:val="center"/>
          </w:tcPr>
          <w:p w14:paraId="0383C95D" w14:textId="77777777" w:rsidR="00FD415B" w:rsidRPr="003A0BF1" w:rsidRDefault="00FD415B" w:rsidP="00D5234C">
            <w:pPr>
              <w:jc w:val="center"/>
              <w:rPr>
                <w:rFonts w:ascii="Times New Roman"/>
                <w:b/>
                <w:color w:val="000000" w:themeColor="text1"/>
                <w:sz w:val="12"/>
                <w:szCs w:val="12"/>
              </w:rPr>
            </w:pPr>
            <w:r w:rsidRPr="003A0BF1">
              <w:rPr>
                <w:rFonts w:ascii="Times New Roman" w:hint="eastAsia"/>
                <w:b/>
                <w:color w:val="000000" w:themeColor="text1"/>
                <w:sz w:val="12"/>
                <w:szCs w:val="12"/>
              </w:rPr>
              <w:t>Site</w:t>
            </w:r>
          </w:p>
        </w:tc>
        <w:tc>
          <w:tcPr>
            <w:tcW w:w="720" w:type="dxa"/>
            <w:vMerge w:val="restart"/>
            <w:shd w:val="clear" w:color="auto" w:fill="D9D9D9" w:themeFill="background1" w:themeFillShade="D9"/>
            <w:vAlign w:val="center"/>
          </w:tcPr>
          <w:p w14:paraId="6AB49C74" w14:textId="6B3318CF" w:rsidR="00FD415B" w:rsidRPr="00CD78C9" w:rsidRDefault="00FD415B" w:rsidP="00FD415B">
            <w:pPr>
              <w:jc w:val="center"/>
              <w:rPr>
                <w:rFonts w:ascii="Times New Roman"/>
                <w:color w:val="000000" w:themeColor="text1"/>
                <w:sz w:val="12"/>
                <w:szCs w:val="12"/>
              </w:rPr>
            </w:pPr>
            <w:r w:rsidRPr="00E04E77">
              <w:rPr>
                <w:rFonts w:ascii="Times New Roman"/>
                <w:b/>
                <w:bCs/>
                <w:sz w:val="12"/>
                <w:szCs w:val="12"/>
              </w:rPr>
              <w:t xml:space="preserve"># PCR </w:t>
            </w:r>
            <w:r>
              <w:rPr>
                <w:rFonts w:ascii="Times New Roman" w:hint="eastAsia"/>
                <w:b/>
                <w:bCs/>
                <w:sz w:val="12"/>
                <w:szCs w:val="12"/>
              </w:rPr>
              <w:t>Negative</w:t>
            </w:r>
          </w:p>
        </w:tc>
        <w:tc>
          <w:tcPr>
            <w:tcW w:w="2478" w:type="dxa"/>
            <w:gridSpan w:val="3"/>
            <w:shd w:val="clear" w:color="auto" w:fill="D9D9D9" w:themeFill="background1" w:themeFillShade="D9"/>
            <w:vAlign w:val="center"/>
          </w:tcPr>
          <w:p w14:paraId="2DE2F338" w14:textId="77777777" w:rsidR="00FD415B" w:rsidRPr="00CD78C9" w:rsidRDefault="00FD415B" w:rsidP="00D5234C">
            <w:pPr>
              <w:jc w:val="center"/>
              <w:rPr>
                <w:rFonts w:ascii="Times New Roman"/>
                <w:color w:val="000000" w:themeColor="text1"/>
                <w:sz w:val="12"/>
                <w:szCs w:val="12"/>
              </w:rPr>
            </w:pPr>
            <w:r>
              <w:rPr>
                <w:rFonts w:ascii="Times New Roman" w:hint="eastAsia"/>
                <w:b/>
                <w:sz w:val="12"/>
                <w:szCs w:val="12"/>
              </w:rPr>
              <w:t xml:space="preserve">Assure </w:t>
            </w:r>
            <w:r w:rsidRPr="00E04E77">
              <w:rPr>
                <w:rFonts w:ascii="Times New Roman"/>
                <w:b/>
                <w:sz w:val="12"/>
                <w:szCs w:val="12"/>
              </w:rPr>
              <w:t>COVID-19 IgG/IgM Rapid Test Device</w:t>
            </w:r>
          </w:p>
        </w:tc>
      </w:tr>
      <w:tr w:rsidR="00FD415B" w:rsidRPr="00B033FC" w14:paraId="5E33313A" w14:textId="77777777" w:rsidTr="00DE22BB">
        <w:trPr>
          <w:trHeight w:val="426"/>
          <w:jc w:val="center"/>
        </w:trPr>
        <w:tc>
          <w:tcPr>
            <w:tcW w:w="1837" w:type="dxa"/>
            <w:vMerge/>
            <w:shd w:val="clear" w:color="auto" w:fill="D9D9D9" w:themeFill="background1" w:themeFillShade="D9"/>
            <w:vAlign w:val="center"/>
          </w:tcPr>
          <w:p w14:paraId="7AC80B8B" w14:textId="77777777" w:rsidR="00FD415B" w:rsidRPr="003A0BF1" w:rsidRDefault="00FD415B" w:rsidP="00D5234C">
            <w:pPr>
              <w:jc w:val="center"/>
              <w:rPr>
                <w:rFonts w:ascii="Times New Roman"/>
                <w:b/>
                <w:color w:val="000000" w:themeColor="text1"/>
                <w:sz w:val="12"/>
                <w:szCs w:val="12"/>
              </w:rPr>
            </w:pPr>
          </w:p>
        </w:tc>
        <w:tc>
          <w:tcPr>
            <w:tcW w:w="720" w:type="dxa"/>
            <w:vMerge/>
            <w:shd w:val="clear" w:color="auto" w:fill="D9D9D9" w:themeFill="background1" w:themeFillShade="D9"/>
            <w:vAlign w:val="center"/>
          </w:tcPr>
          <w:p w14:paraId="490AC0E9" w14:textId="77777777" w:rsidR="00FD415B" w:rsidRPr="00E04E77" w:rsidRDefault="00FD415B" w:rsidP="00D5234C">
            <w:pPr>
              <w:jc w:val="center"/>
              <w:rPr>
                <w:rFonts w:ascii="Times New Roman"/>
                <w:b/>
                <w:bCs/>
                <w:sz w:val="12"/>
                <w:szCs w:val="12"/>
              </w:rPr>
            </w:pPr>
          </w:p>
        </w:tc>
        <w:tc>
          <w:tcPr>
            <w:tcW w:w="872" w:type="dxa"/>
            <w:shd w:val="clear" w:color="auto" w:fill="D9D9D9" w:themeFill="background1" w:themeFillShade="D9"/>
            <w:vAlign w:val="center"/>
          </w:tcPr>
          <w:p w14:paraId="3C978A1B" w14:textId="5FE8DCBD" w:rsidR="00FD415B" w:rsidRPr="00CD78C9" w:rsidRDefault="00FD415B" w:rsidP="00FD415B">
            <w:pPr>
              <w:jc w:val="center"/>
              <w:rPr>
                <w:rFonts w:ascii="Times New Roman"/>
                <w:b/>
                <w:color w:val="000000" w:themeColor="text1"/>
                <w:sz w:val="12"/>
                <w:szCs w:val="12"/>
              </w:rPr>
            </w:pPr>
            <w:r w:rsidRPr="00CD78C9">
              <w:rPr>
                <w:rFonts w:ascii="Times New Roman" w:hint="eastAsia"/>
                <w:b/>
                <w:color w:val="000000" w:themeColor="text1"/>
                <w:sz w:val="12"/>
                <w:szCs w:val="12"/>
              </w:rPr>
              <w:t>#</w:t>
            </w:r>
            <w:r>
              <w:rPr>
                <w:rFonts w:ascii="Times New Roman" w:hint="eastAsia"/>
                <w:b/>
                <w:color w:val="000000" w:themeColor="text1"/>
                <w:sz w:val="12"/>
                <w:szCs w:val="12"/>
              </w:rPr>
              <w:t>Negative</w:t>
            </w:r>
            <w:r w:rsidRPr="00CD78C9">
              <w:rPr>
                <w:rFonts w:ascii="Times New Roman" w:hint="eastAsia"/>
                <w:b/>
                <w:color w:val="000000" w:themeColor="text1"/>
                <w:sz w:val="12"/>
                <w:szCs w:val="12"/>
              </w:rPr>
              <w:t xml:space="preserve"> Results</w:t>
            </w:r>
          </w:p>
        </w:tc>
        <w:tc>
          <w:tcPr>
            <w:tcW w:w="736" w:type="dxa"/>
            <w:shd w:val="clear" w:color="auto" w:fill="D9D9D9" w:themeFill="background1" w:themeFillShade="D9"/>
            <w:vAlign w:val="center"/>
          </w:tcPr>
          <w:p w14:paraId="1C99F106" w14:textId="10BCAD36" w:rsidR="00FD415B" w:rsidRPr="00CD78C9" w:rsidRDefault="00FD415B" w:rsidP="00D5234C">
            <w:pPr>
              <w:jc w:val="center"/>
              <w:rPr>
                <w:rFonts w:ascii="Times New Roman"/>
                <w:b/>
                <w:color w:val="000000" w:themeColor="text1"/>
                <w:sz w:val="12"/>
                <w:szCs w:val="12"/>
              </w:rPr>
            </w:pPr>
            <w:r>
              <w:rPr>
                <w:rFonts w:ascii="Times New Roman" w:hint="eastAsia"/>
                <w:b/>
                <w:color w:val="000000" w:themeColor="text1"/>
                <w:sz w:val="12"/>
                <w:szCs w:val="12"/>
              </w:rPr>
              <w:t>N</w:t>
            </w:r>
            <w:r w:rsidRPr="00CD78C9">
              <w:rPr>
                <w:rFonts w:ascii="Times New Roman" w:hint="eastAsia"/>
                <w:b/>
                <w:color w:val="000000" w:themeColor="text1"/>
                <w:sz w:val="12"/>
                <w:szCs w:val="12"/>
              </w:rPr>
              <w:t>PA</w:t>
            </w:r>
          </w:p>
        </w:tc>
        <w:tc>
          <w:tcPr>
            <w:tcW w:w="870" w:type="dxa"/>
            <w:shd w:val="clear" w:color="auto" w:fill="D9D9D9" w:themeFill="background1" w:themeFillShade="D9"/>
            <w:vAlign w:val="center"/>
          </w:tcPr>
          <w:p w14:paraId="58C02408" w14:textId="77777777" w:rsidR="00FD415B" w:rsidRPr="00CD78C9" w:rsidRDefault="00FD415B" w:rsidP="00D5234C">
            <w:pPr>
              <w:jc w:val="center"/>
              <w:rPr>
                <w:rFonts w:ascii="Times New Roman"/>
                <w:b/>
                <w:color w:val="000000" w:themeColor="text1"/>
                <w:sz w:val="12"/>
                <w:szCs w:val="12"/>
              </w:rPr>
            </w:pPr>
            <w:r w:rsidRPr="00CD78C9">
              <w:rPr>
                <w:rFonts w:ascii="Times New Roman" w:hint="eastAsia"/>
                <w:b/>
                <w:color w:val="000000" w:themeColor="text1"/>
                <w:sz w:val="12"/>
                <w:szCs w:val="12"/>
              </w:rPr>
              <w:t>95%CI</w:t>
            </w:r>
          </w:p>
        </w:tc>
      </w:tr>
      <w:tr w:rsidR="00FD415B" w:rsidRPr="00B033FC" w14:paraId="12171A59" w14:textId="77777777" w:rsidTr="00DE22BB">
        <w:trPr>
          <w:jc w:val="center"/>
        </w:trPr>
        <w:tc>
          <w:tcPr>
            <w:tcW w:w="1837" w:type="dxa"/>
            <w:vAlign w:val="center"/>
          </w:tcPr>
          <w:p w14:paraId="6CF4749B" w14:textId="77777777" w:rsidR="00FD415B" w:rsidRPr="003A0BF1" w:rsidRDefault="00FD415B" w:rsidP="00D5234C">
            <w:pPr>
              <w:jc w:val="center"/>
              <w:rPr>
                <w:rFonts w:ascii="Times New Roman"/>
                <w:b/>
                <w:color w:val="000000" w:themeColor="text1"/>
                <w:sz w:val="12"/>
                <w:szCs w:val="12"/>
              </w:rPr>
            </w:pPr>
            <w:r w:rsidRPr="003A0BF1">
              <w:rPr>
                <w:rFonts w:ascii="Times New Roman" w:hint="eastAsia"/>
                <w:b/>
                <w:color w:val="000000" w:themeColor="text1"/>
                <w:sz w:val="12"/>
                <w:szCs w:val="12"/>
              </w:rPr>
              <w:t>(Site 1+3+4)</w:t>
            </w:r>
          </w:p>
          <w:p w14:paraId="792A45C8" w14:textId="77777777" w:rsidR="00FD415B" w:rsidRPr="003A0BF1" w:rsidRDefault="00FD415B" w:rsidP="00D5234C">
            <w:pPr>
              <w:jc w:val="center"/>
              <w:rPr>
                <w:rFonts w:ascii="Times New Roman"/>
                <w:b/>
                <w:color w:val="000000" w:themeColor="text1"/>
                <w:sz w:val="12"/>
                <w:szCs w:val="12"/>
              </w:rPr>
            </w:pPr>
            <w:r w:rsidRPr="003A0BF1">
              <w:rPr>
                <w:rFonts w:ascii="Times New Roman" w:hint="eastAsia"/>
                <w:b/>
                <w:color w:val="000000" w:themeColor="text1"/>
                <w:sz w:val="12"/>
                <w:szCs w:val="12"/>
              </w:rPr>
              <w:t>Serum</w:t>
            </w:r>
          </w:p>
        </w:tc>
        <w:tc>
          <w:tcPr>
            <w:tcW w:w="720" w:type="dxa"/>
            <w:vAlign w:val="center"/>
          </w:tcPr>
          <w:p w14:paraId="2BDAD8C2" w14:textId="348425F7" w:rsidR="00FD415B" w:rsidRPr="00CD78C9" w:rsidRDefault="00FD415B" w:rsidP="00D5234C">
            <w:pPr>
              <w:jc w:val="center"/>
              <w:rPr>
                <w:rFonts w:ascii="Times New Roman"/>
                <w:color w:val="000000" w:themeColor="text1"/>
                <w:sz w:val="12"/>
                <w:szCs w:val="12"/>
              </w:rPr>
            </w:pPr>
            <w:r>
              <w:rPr>
                <w:rFonts w:ascii="Times New Roman" w:hint="eastAsia"/>
                <w:color w:val="000000" w:themeColor="text1"/>
                <w:sz w:val="12"/>
                <w:szCs w:val="12"/>
              </w:rPr>
              <w:t>96</w:t>
            </w:r>
          </w:p>
        </w:tc>
        <w:tc>
          <w:tcPr>
            <w:tcW w:w="872" w:type="dxa"/>
            <w:vAlign w:val="center"/>
          </w:tcPr>
          <w:p w14:paraId="05BA5303" w14:textId="180EB09B" w:rsidR="00FD415B" w:rsidRPr="00CD78C9" w:rsidRDefault="00FD415B" w:rsidP="00D5234C">
            <w:pPr>
              <w:jc w:val="center"/>
              <w:rPr>
                <w:rFonts w:ascii="Times New Roman"/>
                <w:color w:val="000000" w:themeColor="text1"/>
                <w:sz w:val="12"/>
                <w:szCs w:val="12"/>
              </w:rPr>
            </w:pPr>
            <w:r>
              <w:rPr>
                <w:rFonts w:ascii="Times New Roman" w:hint="eastAsia"/>
                <w:color w:val="000000" w:themeColor="text1"/>
                <w:sz w:val="12"/>
                <w:szCs w:val="12"/>
              </w:rPr>
              <w:t>96</w:t>
            </w:r>
          </w:p>
        </w:tc>
        <w:tc>
          <w:tcPr>
            <w:tcW w:w="736" w:type="dxa"/>
            <w:vAlign w:val="center"/>
          </w:tcPr>
          <w:p w14:paraId="580F46F9" w14:textId="00A9D562" w:rsidR="00FD415B" w:rsidRPr="00CD78C9" w:rsidRDefault="00FD415B" w:rsidP="00D5234C">
            <w:pPr>
              <w:jc w:val="center"/>
              <w:rPr>
                <w:rFonts w:ascii="Times New Roman"/>
                <w:color w:val="000000" w:themeColor="text1"/>
                <w:sz w:val="12"/>
                <w:szCs w:val="12"/>
              </w:rPr>
            </w:pPr>
            <w:r>
              <w:rPr>
                <w:rFonts w:ascii="Times New Roman" w:hint="eastAsia"/>
                <w:color w:val="000000" w:themeColor="text1"/>
                <w:sz w:val="12"/>
                <w:szCs w:val="12"/>
              </w:rPr>
              <w:t>100%</w:t>
            </w:r>
          </w:p>
        </w:tc>
        <w:tc>
          <w:tcPr>
            <w:tcW w:w="870" w:type="dxa"/>
            <w:vAlign w:val="center"/>
          </w:tcPr>
          <w:p w14:paraId="5D2290BA" w14:textId="366A8BAB" w:rsidR="00FD415B" w:rsidRPr="00CD78C9" w:rsidRDefault="00FD415B" w:rsidP="00D5234C">
            <w:pPr>
              <w:jc w:val="center"/>
              <w:rPr>
                <w:rFonts w:ascii="Times New Roman"/>
                <w:color w:val="000000" w:themeColor="text1"/>
                <w:sz w:val="12"/>
                <w:szCs w:val="12"/>
              </w:rPr>
            </w:pPr>
            <w:r>
              <w:rPr>
                <w:rFonts w:ascii="Times New Roman" w:hint="eastAsia"/>
                <w:sz w:val="12"/>
                <w:szCs w:val="12"/>
              </w:rPr>
              <w:t>96.2</w:t>
            </w:r>
            <w:r>
              <w:rPr>
                <w:rFonts w:ascii="Times New Roman"/>
                <w:sz w:val="12"/>
                <w:szCs w:val="12"/>
              </w:rPr>
              <w:t>%-</w:t>
            </w:r>
            <w:r>
              <w:rPr>
                <w:rFonts w:ascii="Times New Roman" w:hint="eastAsia"/>
                <w:sz w:val="12"/>
                <w:szCs w:val="12"/>
              </w:rPr>
              <w:t>100</w:t>
            </w:r>
            <w:r w:rsidRPr="00E04E77">
              <w:rPr>
                <w:rFonts w:ascii="Times New Roman"/>
                <w:sz w:val="12"/>
                <w:szCs w:val="12"/>
              </w:rPr>
              <w:t>%</w:t>
            </w:r>
          </w:p>
        </w:tc>
      </w:tr>
      <w:tr w:rsidR="00FD415B" w:rsidRPr="00B033FC" w14:paraId="4FE4373A" w14:textId="77777777" w:rsidTr="00DE22BB">
        <w:trPr>
          <w:trHeight w:val="431"/>
          <w:jc w:val="center"/>
        </w:trPr>
        <w:tc>
          <w:tcPr>
            <w:tcW w:w="1837" w:type="dxa"/>
            <w:vAlign w:val="center"/>
          </w:tcPr>
          <w:p w14:paraId="156D65C0" w14:textId="77777777" w:rsidR="00FD415B" w:rsidRPr="003A0BF1" w:rsidRDefault="00FD415B" w:rsidP="00D5234C">
            <w:pPr>
              <w:contextualSpacing/>
              <w:jc w:val="center"/>
              <w:rPr>
                <w:rFonts w:ascii="Times New Roman"/>
                <w:b/>
                <w:sz w:val="12"/>
                <w:szCs w:val="12"/>
              </w:rPr>
            </w:pPr>
            <w:r w:rsidRPr="003A0BF1">
              <w:rPr>
                <w:rFonts w:ascii="Times New Roman"/>
                <w:b/>
                <w:sz w:val="12"/>
                <w:szCs w:val="12"/>
              </w:rPr>
              <w:t>(Site 2)</w:t>
            </w:r>
          </w:p>
          <w:p w14:paraId="20E52223" w14:textId="77777777" w:rsidR="00FD415B" w:rsidRPr="003A0BF1" w:rsidRDefault="00FD415B" w:rsidP="00D5234C">
            <w:pPr>
              <w:jc w:val="center"/>
              <w:rPr>
                <w:rFonts w:ascii="Times New Roman"/>
                <w:b/>
                <w:color w:val="000000" w:themeColor="text1"/>
                <w:sz w:val="12"/>
                <w:szCs w:val="12"/>
              </w:rPr>
            </w:pPr>
            <w:r w:rsidRPr="003A0BF1">
              <w:rPr>
                <w:rFonts w:ascii="Times New Roman"/>
                <w:b/>
                <w:sz w:val="12"/>
                <w:szCs w:val="12"/>
              </w:rPr>
              <w:t>Venous Whole Blood</w:t>
            </w:r>
          </w:p>
        </w:tc>
        <w:tc>
          <w:tcPr>
            <w:tcW w:w="720" w:type="dxa"/>
            <w:vAlign w:val="center"/>
          </w:tcPr>
          <w:p w14:paraId="7780DA38" w14:textId="6B96482C" w:rsidR="00FD415B" w:rsidRPr="00CD78C9" w:rsidRDefault="00FD415B" w:rsidP="00D5234C">
            <w:pPr>
              <w:jc w:val="center"/>
              <w:rPr>
                <w:rFonts w:ascii="Times New Roman"/>
                <w:color w:val="000000" w:themeColor="text1"/>
                <w:sz w:val="12"/>
                <w:szCs w:val="12"/>
              </w:rPr>
            </w:pPr>
            <w:r>
              <w:rPr>
                <w:rFonts w:ascii="Times New Roman" w:hint="eastAsia"/>
                <w:color w:val="000000" w:themeColor="text1"/>
                <w:sz w:val="12"/>
                <w:szCs w:val="12"/>
              </w:rPr>
              <w:t>9</w:t>
            </w:r>
          </w:p>
        </w:tc>
        <w:tc>
          <w:tcPr>
            <w:tcW w:w="872" w:type="dxa"/>
            <w:vAlign w:val="center"/>
          </w:tcPr>
          <w:p w14:paraId="254088D6" w14:textId="7E280056" w:rsidR="00FD415B" w:rsidRPr="00CD78C9" w:rsidRDefault="00FD415B" w:rsidP="00D5234C">
            <w:pPr>
              <w:jc w:val="center"/>
              <w:rPr>
                <w:rFonts w:ascii="Times New Roman"/>
                <w:color w:val="000000" w:themeColor="text1"/>
                <w:sz w:val="12"/>
                <w:szCs w:val="12"/>
              </w:rPr>
            </w:pPr>
            <w:r>
              <w:rPr>
                <w:rFonts w:ascii="Times New Roman" w:hint="eastAsia"/>
                <w:color w:val="000000" w:themeColor="text1"/>
                <w:sz w:val="12"/>
                <w:szCs w:val="12"/>
              </w:rPr>
              <w:t>9</w:t>
            </w:r>
          </w:p>
        </w:tc>
        <w:tc>
          <w:tcPr>
            <w:tcW w:w="736" w:type="dxa"/>
            <w:vAlign w:val="center"/>
          </w:tcPr>
          <w:p w14:paraId="37CE4233" w14:textId="77777777" w:rsidR="00FD415B" w:rsidRPr="00CD78C9" w:rsidRDefault="00FD415B" w:rsidP="00D5234C">
            <w:pPr>
              <w:jc w:val="center"/>
              <w:rPr>
                <w:rFonts w:ascii="Times New Roman"/>
                <w:color w:val="000000" w:themeColor="text1"/>
                <w:sz w:val="12"/>
                <w:szCs w:val="12"/>
              </w:rPr>
            </w:pPr>
            <w:r>
              <w:rPr>
                <w:rFonts w:ascii="Times New Roman" w:hint="eastAsia"/>
                <w:color w:val="000000" w:themeColor="text1"/>
                <w:sz w:val="12"/>
                <w:szCs w:val="12"/>
              </w:rPr>
              <w:t>100%</w:t>
            </w:r>
          </w:p>
        </w:tc>
        <w:tc>
          <w:tcPr>
            <w:tcW w:w="870" w:type="dxa"/>
            <w:vAlign w:val="center"/>
          </w:tcPr>
          <w:p w14:paraId="7ECE6ACD" w14:textId="26FBBAD0" w:rsidR="00FD415B" w:rsidRPr="00CD78C9" w:rsidRDefault="00FD415B" w:rsidP="00D5234C">
            <w:pPr>
              <w:jc w:val="center"/>
              <w:rPr>
                <w:rFonts w:ascii="Times New Roman"/>
                <w:color w:val="000000" w:themeColor="text1"/>
                <w:sz w:val="12"/>
                <w:szCs w:val="12"/>
              </w:rPr>
            </w:pPr>
            <w:r>
              <w:rPr>
                <w:rFonts w:ascii="Times New Roman" w:hint="eastAsia"/>
                <w:sz w:val="12"/>
                <w:szCs w:val="12"/>
              </w:rPr>
              <w:t>70.1</w:t>
            </w:r>
            <w:r w:rsidRPr="00E04E77">
              <w:rPr>
                <w:rFonts w:ascii="Times New Roman"/>
                <w:sz w:val="12"/>
                <w:szCs w:val="12"/>
              </w:rPr>
              <w:t>%-100%</w:t>
            </w:r>
          </w:p>
        </w:tc>
      </w:tr>
      <w:tr w:rsidR="00FD415B" w:rsidRPr="00B033FC" w14:paraId="5EBC7790" w14:textId="77777777" w:rsidTr="00DE22BB">
        <w:trPr>
          <w:trHeight w:val="494"/>
          <w:jc w:val="center"/>
        </w:trPr>
        <w:tc>
          <w:tcPr>
            <w:tcW w:w="1837" w:type="dxa"/>
            <w:vAlign w:val="center"/>
          </w:tcPr>
          <w:p w14:paraId="37086562" w14:textId="77777777" w:rsidR="00FD415B" w:rsidRPr="003A0BF1" w:rsidRDefault="00FD415B" w:rsidP="00D5234C">
            <w:pPr>
              <w:contextualSpacing/>
              <w:jc w:val="center"/>
              <w:rPr>
                <w:rFonts w:ascii="Times New Roman"/>
                <w:b/>
                <w:sz w:val="12"/>
                <w:szCs w:val="12"/>
              </w:rPr>
            </w:pPr>
            <w:r w:rsidRPr="003A0BF1">
              <w:rPr>
                <w:rFonts w:ascii="Times New Roman" w:hint="eastAsia"/>
                <w:b/>
                <w:sz w:val="12"/>
                <w:szCs w:val="12"/>
              </w:rPr>
              <w:t>Combined Sites (Serum</w:t>
            </w:r>
            <w:r>
              <w:rPr>
                <w:rFonts w:ascii="Times New Roman" w:hint="eastAsia"/>
                <w:b/>
                <w:sz w:val="12"/>
                <w:szCs w:val="12"/>
              </w:rPr>
              <w:t xml:space="preserve"> </w:t>
            </w:r>
            <w:r w:rsidRPr="003A0BF1">
              <w:rPr>
                <w:rFonts w:ascii="Times New Roman" w:hint="eastAsia"/>
                <w:b/>
                <w:sz w:val="12"/>
                <w:szCs w:val="12"/>
              </w:rPr>
              <w:t>+</w:t>
            </w:r>
            <w:r>
              <w:rPr>
                <w:rFonts w:ascii="Times New Roman" w:hint="eastAsia"/>
                <w:b/>
                <w:sz w:val="12"/>
                <w:szCs w:val="12"/>
              </w:rPr>
              <w:t xml:space="preserve"> </w:t>
            </w:r>
            <w:r w:rsidRPr="003A0BF1">
              <w:rPr>
                <w:rFonts w:ascii="Times New Roman" w:hint="eastAsia"/>
                <w:b/>
                <w:sz w:val="12"/>
                <w:szCs w:val="12"/>
              </w:rPr>
              <w:t>Blood)</w:t>
            </w:r>
          </w:p>
        </w:tc>
        <w:tc>
          <w:tcPr>
            <w:tcW w:w="720" w:type="dxa"/>
            <w:vAlign w:val="center"/>
          </w:tcPr>
          <w:p w14:paraId="4C4C81DA" w14:textId="02E4B3DC" w:rsidR="00FD415B" w:rsidRDefault="00FD415B" w:rsidP="00D5234C">
            <w:pPr>
              <w:jc w:val="center"/>
              <w:rPr>
                <w:rFonts w:ascii="Times New Roman"/>
                <w:color w:val="000000" w:themeColor="text1"/>
                <w:sz w:val="12"/>
                <w:szCs w:val="12"/>
              </w:rPr>
            </w:pPr>
            <w:r>
              <w:rPr>
                <w:rFonts w:ascii="Times New Roman" w:hint="eastAsia"/>
                <w:color w:val="000000" w:themeColor="text1"/>
                <w:sz w:val="12"/>
                <w:szCs w:val="12"/>
              </w:rPr>
              <w:t>105</w:t>
            </w:r>
          </w:p>
        </w:tc>
        <w:tc>
          <w:tcPr>
            <w:tcW w:w="872" w:type="dxa"/>
            <w:vAlign w:val="center"/>
          </w:tcPr>
          <w:p w14:paraId="2E1E7764" w14:textId="7A68E023" w:rsidR="00FD415B" w:rsidRDefault="00FD415B" w:rsidP="00D5234C">
            <w:pPr>
              <w:jc w:val="center"/>
              <w:rPr>
                <w:rFonts w:ascii="Times New Roman"/>
                <w:color w:val="000000" w:themeColor="text1"/>
                <w:sz w:val="12"/>
                <w:szCs w:val="12"/>
              </w:rPr>
            </w:pPr>
            <w:r>
              <w:rPr>
                <w:rFonts w:ascii="Times New Roman" w:hint="eastAsia"/>
                <w:color w:val="000000" w:themeColor="text1"/>
                <w:sz w:val="12"/>
                <w:szCs w:val="12"/>
              </w:rPr>
              <w:t>105</w:t>
            </w:r>
          </w:p>
        </w:tc>
        <w:tc>
          <w:tcPr>
            <w:tcW w:w="736" w:type="dxa"/>
            <w:vAlign w:val="center"/>
          </w:tcPr>
          <w:p w14:paraId="61D70015" w14:textId="1788DE9E" w:rsidR="00FD415B" w:rsidRDefault="00FD415B" w:rsidP="00D5234C">
            <w:pPr>
              <w:jc w:val="center"/>
              <w:rPr>
                <w:rFonts w:ascii="Times New Roman"/>
                <w:color w:val="000000" w:themeColor="text1"/>
                <w:sz w:val="12"/>
                <w:szCs w:val="12"/>
              </w:rPr>
            </w:pPr>
            <w:r>
              <w:rPr>
                <w:rFonts w:ascii="Times New Roman" w:hint="eastAsia"/>
                <w:color w:val="000000" w:themeColor="text1"/>
                <w:sz w:val="12"/>
                <w:szCs w:val="12"/>
              </w:rPr>
              <w:t>100%</w:t>
            </w:r>
          </w:p>
        </w:tc>
        <w:tc>
          <w:tcPr>
            <w:tcW w:w="870" w:type="dxa"/>
            <w:vAlign w:val="center"/>
          </w:tcPr>
          <w:p w14:paraId="102B0DC8" w14:textId="29A467FB" w:rsidR="00FD415B" w:rsidRPr="00E04E77" w:rsidRDefault="00FD415B" w:rsidP="00D5234C">
            <w:pPr>
              <w:jc w:val="center"/>
              <w:rPr>
                <w:rFonts w:ascii="Times New Roman"/>
                <w:sz w:val="12"/>
                <w:szCs w:val="12"/>
              </w:rPr>
            </w:pPr>
            <w:r>
              <w:rPr>
                <w:rFonts w:ascii="Times New Roman" w:hint="eastAsia"/>
                <w:sz w:val="12"/>
                <w:szCs w:val="12"/>
              </w:rPr>
              <w:t>96.5%-100%</w:t>
            </w:r>
          </w:p>
        </w:tc>
      </w:tr>
    </w:tbl>
    <w:p w14:paraId="6A888A36" w14:textId="77777777" w:rsidR="00D5234C" w:rsidRDefault="00D5234C">
      <w:pPr>
        <w:rPr>
          <w:rFonts w:ascii="Times New Roman"/>
          <w:b/>
          <w:color w:val="000000" w:themeColor="text1"/>
          <w:sz w:val="12"/>
          <w:szCs w:val="12"/>
        </w:rPr>
      </w:pPr>
    </w:p>
    <w:p w14:paraId="51C69C0F" w14:textId="4B5DC703" w:rsidR="00DE22BB" w:rsidRPr="00DE22BB" w:rsidRDefault="00DE22BB" w:rsidP="00DE22BB">
      <w:pPr>
        <w:rPr>
          <w:rFonts w:ascii="Times New Roman"/>
          <w:b/>
          <w:color w:val="000000" w:themeColor="text1"/>
          <w:sz w:val="12"/>
          <w:szCs w:val="12"/>
        </w:rPr>
      </w:pPr>
      <w:r w:rsidRPr="005646E1">
        <w:rPr>
          <w:rFonts w:ascii="Times New Roman"/>
          <w:b/>
          <w:color w:val="000000" w:themeColor="text1"/>
          <w:sz w:val="12"/>
          <w:szCs w:val="12"/>
        </w:rPr>
        <w:t xml:space="preserve">Table 3. </w:t>
      </w:r>
      <w:r w:rsidR="00D5234C" w:rsidRPr="005646E1">
        <w:rPr>
          <w:rFonts w:ascii="Times New Roman" w:hint="eastAsia"/>
          <w:b/>
          <w:color w:val="000000" w:themeColor="text1"/>
          <w:sz w:val="12"/>
          <w:szCs w:val="12"/>
        </w:rPr>
        <w:t>IgM PPA</w:t>
      </w:r>
      <w:r w:rsidRPr="005646E1">
        <w:rPr>
          <w:rFonts w:ascii="Times New Roman" w:eastAsia="SimSun"/>
          <w:b/>
          <w:sz w:val="12"/>
          <w:szCs w:val="12"/>
        </w:rPr>
        <w:t xml:space="preserve"> for the </w:t>
      </w:r>
      <w:r w:rsidRPr="005646E1">
        <w:rPr>
          <w:rFonts w:ascii="Times New Roman" w:hint="eastAsia"/>
          <w:b/>
          <w:sz w:val="12"/>
          <w:szCs w:val="12"/>
        </w:rPr>
        <w:t>Assure COVID-19 IgG/IgM Rapid Test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815"/>
        <w:gridCol w:w="716"/>
        <w:gridCol w:w="962"/>
        <w:gridCol w:w="647"/>
        <w:gridCol w:w="854"/>
      </w:tblGrid>
      <w:tr w:rsidR="00D5234C" w:rsidRPr="00CD78C9" w14:paraId="7C32E533" w14:textId="77777777" w:rsidTr="00DE22BB">
        <w:trPr>
          <w:trHeight w:val="548"/>
          <w:jc w:val="center"/>
        </w:trPr>
        <w:tc>
          <w:tcPr>
            <w:tcW w:w="1041" w:type="dxa"/>
            <w:vMerge w:val="restart"/>
            <w:shd w:val="clear" w:color="auto" w:fill="D9D9D9" w:themeFill="background1" w:themeFillShade="D9"/>
            <w:vAlign w:val="center"/>
          </w:tcPr>
          <w:p w14:paraId="50867DEF" w14:textId="77777777" w:rsidR="00D5234C" w:rsidRPr="003A0BF1" w:rsidRDefault="00D5234C" w:rsidP="00D5234C">
            <w:pPr>
              <w:jc w:val="center"/>
              <w:rPr>
                <w:rFonts w:ascii="Times New Roman"/>
                <w:b/>
                <w:color w:val="000000" w:themeColor="text1"/>
                <w:sz w:val="12"/>
                <w:szCs w:val="12"/>
              </w:rPr>
            </w:pPr>
            <w:r w:rsidRPr="003A0BF1">
              <w:rPr>
                <w:rFonts w:ascii="Times New Roman" w:hint="eastAsia"/>
                <w:b/>
                <w:color w:val="000000" w:themeColor="text1"/>
                <w:sz w:val="12"/>
                <w:szCs w:val="12"/>
              </w:rPr>
              <w:t>Site</w:t>
            </w:r>
          </w:p>
        </w:tc>
        <w:tc>
          <w:tcPr>
            <w:tcW w:w="815" w:type="dxa"/>
            <w:vMerge w:val="restart"/>
            <w:shd w:val="clear" w:color="auto" w:fill="D9D9D9" w:themeFill="background1" w:themeFillShade="D9"/>
            <w:vAlign w:val="center"/>
          </w:tcPr>
          <w:p w14:paraId="529A2220" w14:textId="77777777" w:rsidR="00D5234C" w:rsidRPr="00CD78C9" w:rsidRDefault="00D5234C" w:rsidP="00D5234C">
            <w:pPr>
              <w:jc w:val="center"/>
              <w:rPr>
                <w:rFonts w:ascii="Times New Roman"/>
                <w:color w:val="000000" w:themeColor="text1"/>
                <w:sz w:val="12"/>
                <w:szCs w:val="12"/>
              </w:rPr>
            </w:pPr>
            <w:r w:rsidRPr="00E04E77">
              <w:rPr>
                <w:rFonts w:ascii="Times New Roman"/>
                <w:b/>
                <w:bCs/>
                <w:sz w:val="12"/>
                <w:szCs w:val="12"/>
              </w:rPr>
              <w:t>Days post symptom onset</w:t>
            </w:r>
          </w:p>
        </w:tc>
        <w:tc>
          <w:tcPr>
            <w:tcW w:w="716" w:type="dxa"/>
            <w:vMerge w:val="restart"/>
            <w:shd w:val="clear" w:color="auto" w:fill="D9D9D9" w:themeFill="background1" w:themeFillShade="D9"/>
            <w:vAlign w:val="center"/>
          </w:tcPr>
          <w:p w14:paraId="7E1BF977" w14:textId="77777777" w:rsidR="00D5234C" w:rsidRPr="00CD78C9" w:rsidRDefault="00D5234C" w:rsidP="00D5234C">
            <w:pPr>
              <w:jc w:val="center"/>
              <w:rPr>
                <w:rFonts w:ascii="Times New Roman"/>
                <w:color w:val="000000" w:themeColor="text1"/>
                <w:sz w:val="12"/>
                <w:szCs w:val="12"/>
              </w:rPr>
            </w:pPr>
            <w:r w:rsidRPr="00E04E77">
              <w:rPr>
                <w:rFonts w:ascii="Times New Roman"/>
                <w:b/>
                <w:bCs/>
                <w:sz w:val="12"/>
                <w:szCs w:val="12"/>
              </w:rPr>
              <w:t># PCR Positive</w:t>
            </w:r>
            <w:r w:rsidRPr="00E04E77">
              <w:rPr>
                <w:rFonts w:ascii="Times New Roman"/>
                <w:b/>
                <w:bCs/>
                <w:sz w:val="12"/>
                <w:szCs w:val="12"/>
              </w:rPr>
              <w:br/>
              <w:t>at any time</w:t>
            </w:r>
          </w:p>
        </w:tc>
        <w:tc>
          <w:tcPr>
            <w:tcW w:w="2463" w:type="dxa"/>
            <w:gridSpan w:val="3"/>
            <w:shd w:val="clear" w:color="auto" w:fill="D9D9D9" w:themeFill="background1" w:themeFillShade="D9"/>
            <w:vAlign w:val="center"/>
          </w:tcPr>
          <w:p w14:paraId="123E5440" w14:textId="77777777" w:rsidR="00D5234C" w:rsidRPr="00CD78C9" w:rsidRDefault="00D5234C" w:rsidP="00D5234C">
            <w:pPr>
              <w:jc w:val="center"/>
              <w:rPr>
                <w:rFonts w:ascii="Times New Roman"/>
                <w:color w:val="000000" w:themeColor="text1"/>
                <w:sz w:val="12"/>
                <w:szCs w:val="12"/>
              </w:rPr>
            </w:pPr>
            <w:r>
              <w:rPr>
                <w:rFonts w:ascii="Times New Roman" w:hint="eastAsia"/>
                <w:b/>
                <w:sz w:val="12"/>
                <w:szCs w:val="12"/>
              </w:rPr>
              <w:t xml:space="preserve">Assure </w:t>
            </w:r>
            <w:r w:rsidRPr="00E04E77">
              <w:rPr>
                <w:rFonts w:ascii="Times New Roman"/>
                <w:b/>
                <w:sz w:val="12"/>
                <w:szCs w:val="12"/>
              </w:rPr>
              <w:t>COVID-19 IgG/IgM Rapid Test Device</w:t>
            </w:r>
          </w:p>
        </w:tc>
      </w:tr>
      <w:tr w:rsidR="00D5234C" w:rsidRPr="00CD78C9" w14:paraId="5AF0BDB4" w14:textId="77777777" w:rsidTr="00DE22BB">
        <w:trPr>
          <w:trHeight w:val="426"/>
          <w:jc w:val="center"/>
        </w:trPr>
        <w:tc>
          <w:tcPr>
            <w:tcW w:w="1041" w:type="dxa"/>
            <w:vMerge/>
            <w:shd w:val="clear" w:color="auto" w:fill="D9D9D9" w:themeFill="background1" w:themeFillShade="D9"/>
            <w:vAlign w:val="center"/>
          </w:tcPr>
          <w:p w14:paraId="478FE072" w14:textId="77777777" w:rsidR="00D5234C" w:rsidRPr="003A0BF1" w:rsidRDefault="00D5234C" w:rsidP="00D5234C">
            <w:pPr>
              <w:jc w:val="center"/>
              <w:rPr>
                <w:rFonts w:ascii="Times New Roman"/>
                <w:b/>
                <w:color w:val="000000" w:themeColor="text1"/>
                <w:sz w:val="12"/>
                <w:szCs w:val="12"/>
              </w:rPr>
            </w:pPr>
          </w:p>
        </w:tc>
        <w:tc>
          <w:tcPr>
            <w:tcW w:w="815" w:type="dxa"/>
            <w:vMerge/>
            <w:shd w:val="clear" w:color="auto" w:fill="D9D9D9" w:themeFill="background1" w:themeFillShade="D9"/>
            <w:vAlign w:val="center"/>
          </w:tcPr>
          <w:p w14:paraId="75A24642" w14:textId="77777777" w:rsidR="00D5234C" w:rsidRPr="00E04E77" w:rsidRDefault="00D5234C" w:rsidP="00D5234C">
            <w:pPr>
              <w:jc w:val="center"/>
              <w:rPr>
                <w:rFonts w:ascii="Times New Roman"/>
                <w:b/>
                <w:bCs/>
                <w:sz w:val="12"/>
                <w:szCs w:val="12"/>
              </w:rPr>
            </w:pPr>
          </w:p>
        </w:tc>
        <w:tc>
          <w:tcPr>
            <w:tcW w:w="716" w:type="dxa"/>
            <w:vMerge/>
            <w:shd w:val="clear" w:color="auto" w:fill="D9D9D9" w:themeFill="background1" w:themeFillShade="D9"/>
            <w:vAlign w:val="center"/>
          </w:tcPr>
          <w:p w14:paraId="6D6E51CD" w14:textId="77777777" w:rsidR="00D5234C" w:rsidRPr="00E04E77" w:rsidRDefault="00D5234C" w:rsidP="00D5234C">
            <w:pPr>
              <w:jc w:val="center"/>
              <w:rPr>
                <w:rFonts w:ascii="Times New Roman"/>
                <w:b/>
                <w:bCs/>
                <w:sz w:val="12"/>
                <w:szCs w:val="12"/>
              </w:rPr>
            </w:pPr>
          </w:p>
        </w:tc>
        <w:tc>
          <w:tcPr>
            <w:tcW w:w="962" w:type="dxa"/>
            <w:shd w:val="clear" w:color="auto" w:fill="D9D9D9" w:themeFill="background1" w:themeFillShade="D9"/>
            <w:vAlign w:val="center"/>
          </w:tcPr>
          <w:p w14:paraId="3C45212E" w14:textId="77777777" w:rsidR="00D5234C" w:rsidRPr="00CD78C9" w:rsidRDefault="00D5234C" w:rsidP="00D5234C">
            <w:pPr>
              <w:jc w:val="center"/>
              <w:rPr>
                <w:rFonts w:ascii="Times New Roman"/>
                <w:b/>
                <w:color w:val="000000" w:themeColor="text1"/>
                <w:sz w:val="12"/>
                <w:szCs w:val="12"/>
              </w:rPr>
            </w:pPr>
            <w:r w:rsidRPr="00CD78C9">
              <w:rPr>
                <w:rFonts w:ascii="Times New Roman" w:hint="eastAsia"/>
                <w:b/>
                <w:color w:val="000000" w:themeColor="text1"/>
                <w:sz w:val="12"/>
                <w:szCs w:val="12"/>
              </w:rPr>
              <w:t>#Positive Results</w:t>
            </w:r>
          </w:p>
        </w:tc>
        <w:tc>
          <w:tcPr>
            <w:tcW w:w="647" w:type="dxa"/>
            <w:shd w:val="clear" w:color="auto" w:fill="D9D9D9" w:themeFill="background1" w:themeFillShade="D9"/>
            <w:vAlign w:val="center"/>
          </w:tcPr>
          <w:p w14:paraId="4316B75B" w14:textId="77777777" w:rsidR="00D5234C" w:rsidRPr="00CD78C9" w:rsidRDefault="00D5234C" w:rsidP="00D5234C">
            <w:pPr>
              <w:jc w:val="center"/>
              <w:rPr>
                <w:rFonts w:ascii="Times New Roman"/>
                <w:b/>
                <w:color w:val="000000" w:themeColor="text1"/>
                <w:sz w:val="12"/>
                <w:szCs w:val="12"/>
              </w:rPr>
            </w:pPr>
            <w:r w:rsidRPr="00CD78C9">
              <w:rPr>
                <w:rFonts w:ascii="Times New Roman" w:hint="eastAsia"/>
                <w:b/>
                <w:color w:val="000000" w:themeColor="text1"/>
                <w:sz w:val="12"/>
                <w:szCs w:val="12"/>
              </w:rPr>
              <w:t>PPA</w:t>
            </w:r>
          </w:p>
        </w:tc>
        <w:tc>
          <w:tcPr>
            <w:tcW w:w="854" w:type="dxa"/>
            <w:shd w:val="clear" w:color="auto" w:fill="D9D9D9" w:themeFill="background1" w:themeFillShade="D9"/>
            <w:vAlign w:val="center"/>
          </w:tcPr>
          <w:p w14:paraId="5984E923" w14:textId="77777777" w:rsidR="00D5234C" w:rsidRPr="00CD78C9" w:rsidRDefault="00D5234C" w:rsidP="00D5234C">
            <w:pPr>
              <w:jc w:val="center"/>
              <w:rPr>
                <w:rFonts w:ascii="Times New Roman"/>
                <w:b/>
                <w:color w:val="000000" w:themeColor="text1"/>
                <w:sz w:val="12"/>
                <w:szCs w:val="12"/>
              </w:rPr>
            </w:pPr>
            <w:r w:rsidRPr="00CD78C9">
              <w:rPr>
                <w:rFonts w:ascii="Times New Roman" w:hint="eastAsia"/>
                <w:b/>
                <w:color w:val="000000" w:themeColor="text1"/>
                <w:sz w:val="12"/>
                <w:szCs w:val="12"/>
              </w:rPr>
              <w:t>95%CI</w:t>
            </w:r>
          </w:p>
        </w:tc>
      </w:tr>
      <w:tr w:rsidR="00D5234C" w:rsidRPr="00CD78C9" w14:paraId="08799654" w14:textId="77777777" w:rsidTr="00DE22BB">
        <w:trPr>
          <w:jc w:val="center"/>
        </w:trPr>
        <w:tc>
          <w:tcPr>
            <w:tcW w:w="1041" w:type="dxa"/>
            <w:vMerge w:val="restart"/>
            <w:vAlign w:val="center"/>
          </w:tcPr>
          <w:p w14:paraId="60AA81FF" w14:textId="77777777" w:rsidR="00D5234C" w:rsidRPr="003A0BF1" w:rsidRDefault="00D5234C" w:rsidP="00D5234C">
            <w:pPr>
              <w:jc w:val="center"/>
              <w:rPr>
                <w:rFonts w:ascii="Times New Roman"/>
                <w:b/>
                <w:color w:val="000000" w:themeColor="text1"/>
                <w:sz w:val="12"/>
                <w:szCs w:val="12"/>
              </w:rPr>
            </w:pPr>
            <w:r w:rsidRPr="003A0BF1">
              <w:rPr>
                <w:rFonts w:ascii="Times New Roman" w:hint="eastAsia"/>
                <w:b/>
                <w:color w:val="000000" w:themeColor="text1"/>
                <w:sz w:val="12"/>
                <w:szCs w:val="12"/>
              </w:rPr>
              <w:t>(Site 1+3+4)</w:t>
            </w:r>
          </w:p>
          <w:p w14:paraId="084A0B27" w14:textId="77777777" w:rsidR="00D5234C" w:rsidRPr="003A0BF1" w:rsidRDefault="00D5234C" w:rsidP="00D5234C">
            <w:pPr>
              <w:jc w:val="center"/>
              <w:rPr>
                <w:rFonts w:ascii="Times New Roman"/>
                <w:b/>
                <w:color w:val="000000" w:themeColor="text1"/>
                <w:sz w:val="12"/>
                <w:szCs w:val="12"/>
              </w:rPr>
            </w:pPr>
            <w:r w:rsidRPr="003A0BF1">
              <w:rPr>
                <w:rFonts w:ascii="Times New Roman" w:hint="eastAsia"/>
                <w:b/>
                <w:color w:val="000000" w:themeColor="text1"/>
                <w:sz w:val="12"/>
                <w:szCs w:val="12"/>
              </w:rPr>
              <w:t>Serum</w:t>
            </w:r>
          </w:p>
        </w:tc>
        <w:tc>
          <w:tcPr>
            <w:tcW w:w="815" w:type="dxa"/>
            <w:vAlign w:val="center"/>
          </w:tcPr>
          <w:p w14:paraId="1B9A7FC8" w14:textId="77777777" w:rsidR="00D5234C" w:rsidRPr="00CD78C9" w:rsidRDefault="00D5234C" w:rsidP="00D5234C">
            <w:pPr>
              <w:jc w:val="center"/>
              <w:rPr>
                <w:rFonts w:ascii="Times New Roman"/>
                <w:color w:val="000000" w:themeColor="text1"/>
                <w:sz w:val="12"/>
                <w:szCs w:val="12"/>
              </w:rPr>
            </w:pPr>
            <w:r w:rsidRPr="00E04E77">
              <w:rPr>
                <w:rFonts w:ascii="Times New Roman"/>
                <w:sz w:val="12"/>
                <w:szCs w:val="12"/>
              </w:rPr>
              <w:t>≤7</w:t>
            </w:r>
          </w:p>
        </w:tc>
        <w:tc>
          <w:tcPr>
            <w:tcW w:w="716" w:type="dxa"/>
            <w:vAlign w:val="center"/>
          </w:tcPr>
          <w:p w14:paraId="1124E05E"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8</w:t>
            </w:r>
          </w:p>
        </w:tc>
        <w:tc>
          <w:tcPr>
            <w:tcW w:w="962" w:type="dxa"/>
            <w:vAlign w:val="center"/>
          </w:tcPr>
          <w:p w14:paraId="4EC03F47" w14:textId="0AD4A7F2" w:rsidR="00D5234C" w:rsidRPr="00CD78C9" w:rsidRDefault="009B1E39" w:rsidP="00D5234C">
            <w:pPr>
              <w:jc w:val="center"/>
              <w:rPr>
                <w:rFonts w:ascii="Times New Roman"/>
                <w:color w:val="000000" w:themeColor="text1"/>
                <w:sz w:val="12"/>
                <w:szCs w:val="12"/>
              </w:rPr>
            </w:pPr>
            <w:r>
              <w:rPr>
                <w:rFonts w:ascii="Times New Roman" w:hint="eastAsia"/>
                <w:color w:val="000000" w:themeColor="text1"/>
                <w:sz w:val="12"/>
                <w:szCs w:val="12"/>
              </w:rPr>
              <w:t>8</w:t>
            </w:r>
          </w:p>
        </w:tc>
        <w:tc>
          <w:tcPr>
            <w:tcW w:w="647" w:type="dxa"/>
            <w:vAlign w:val="center"/>
          </w:tcPr>
          <w:p w14:paraId="40486B6C" w14:textId="7E5B7E7A" w:rsidR="00D5234C" w:rsidRPr="00CD78C9" w:rsidRDefault="009B1E39" w:rsidP="00D5234C">
            <w:pPr>
              <w:jc w:val="center"/>
              <w:rPr>
                <w:rFonts w:ascii="Times New Roman"/>
                <w:color w:val="000000" w:themeColor="text1"/>
                <w:sz w:val="12"/>
                <w:szCs w:val="12"/>
              </w:rPr>
            </w:pPr>
            <w:r>
              <w:rPr>
                <w:rFonts w:ascii="Times New Roman" w:hint="eastAsia"/>
                <w:color w:val="000000" w:themeColor="text1"/>
                <w:sz w:val="12"/>
                <w:szCs w:val="12"/>
              </w:rPr>
              <w:t>100</w:t>
            </w:r>
            <w:r w:rsidR="00D5234C">
              <w:rPr>
                <w:rFonts w:ascii="Times New Roman" w:hint="eastAsia"/>
                <w:color w:val="000000" w:themeColor="text1"/>
                <w:sz w:val="12"/>
                <w:szCs w:val="12"/>
              </w:rPr>
              <w:t>%</w:t>
            </w:r>
          </w:p>
        </w:tc>
        <w:tc>
          <w:tcPr>
            <w:tcW w:w="854" w:type="dxa"/>
            <w:vAlign w:val="center"/>
          </w:tcPr>
          <w:p w14:paraId="354DE5E7" w14:textId="11EFE8DA" w:rsidR="00D5234C" w:rsidRPr="00CD78C9" w:rsidRDefault="009B1E39" w:rsidP="00D5234C">
            <w:pPr>
              <w:jc w:val="center"/>
              <w:rPr>
                <w:rFonts w:ascii="Times New Roman"/>
                <w:color w:val="000000" w:themeColor="text1"/>
                <w:sz w:val="12"/>
                <w:szCs w:val="12"/>
              </w:rPr>
            </w:pPr>
            <w:r>
              <w:rPr>
                <w:rFonts w:ascii="Times New Roman" w:hint="eastAsia"/>
                <w:sz w:val="12"/>
                <w:szCs w:val="12"/>
              </w:rPr>
              <w:t>67.6</w:t>
            </w:r>
            <w:r>
              <w:rPr>
                <w:rFonts w:ascii="Times New Roman"/>
                <w:sz w:val="12"/>
                <w:szCs w:val="12"/>
              </w:rPr>
              <w:t>%-</w:t>
            </w:r>
            <w:r>
              <w:rPr>
                <w:rFonts w:ascii="Times New Roman" w:hint="eastAsia"/>
                <w:sz w:val="12"/>
                <w:szCs w:val="12"/>
              </w:rPr>
              <w:t>100</w:t>
            </w:r>
            <w:r w:rsidR="00D5234C" w:rsidRPr="00E04E77">
              <w:rPr>
                <w:rFonts w:ascii="Times New Roman"/>
                <w:sz w:val="12"/>
                <w:szCs w:val="12"/>
              </w:rPr>
              <w:t>%</w:t>
            </w:r>
          </w:p>
        </w:tc>
      </w:tr>
      <w:tr w:rsidR="00D5234C" w:rsidRPr="00CD78C9" w14:paraId="68EEB84F" w14:textId="77777777" w:rsidTr="00DE22BB">
        <w:trPr>
          <w:jc w:val="center"/>
        </w:trPr>
        <w:tc>
          <w:tcPr>
            <w:tcW w:w="1041" w:type="dxa"/>
            <w:vMerge/>
            <w:vAlign w:val="center"/>
          </w:tcPr>
          <w:p w14:paraId="3B88CBF7" w14:textId="77777777" w:rsidR="00D5234C" w:rsidRPr="003A0BF1" w:rsidRDefault="00D5234C" w:rsidP="00D5234C">
            <w:pPr>
              <w:jc w:val="center"/>
              <w:rPr>
                <w:rFonts w:ascii="Times New Roman"/>
                <w:b/>
                <w:color w:val="000000" w:themeColor="text1"/>
                <w:sz w:val="12"/>
                <w:szCs w:val="12"/>
              </w:rPr>
            </w:pPr>
          </w:p>
        </w:tc>
        <w:tc>
          <w:tcPr>
            <w:tcW w:w="815" w:type="dxa"/>
            <w:vAlign w:val="center"/>
          </w:tcPr>
          <w:p w14:paraId="0A058618"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8-14</w:t>
            </w:r>
          </w:p>
        </w:tc>
        <w:tc>
          <w:tcPr>
            <w:tcW w:w="716" w:type="dxa"/>
            <w:vAlign w:val="center"/>
          </w:tcPr>
          <w:p w14:paraId="10F60583"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15</w:t>
            </w:r>
          </w:p>
        </w:tc>
        <w:tc>
          <w:tcPr>
            <w:tcW w:w="962" w:type="dxa"/>
            <w:vAlign w:val="center"/>
          </w:tcPr>
          <w:p w14:paraId="493E2E4F"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13</w:t>
            </w:r>
          </w:p>
        </w:tc>
        <w:tc>
          <w:tcPr>
            <w:tcW w:w="647" w:type="dxa"/>
            <w:vAlign w:val="center"/>
          </w:tcPr>
          <w:p w14:paraId="71835D9E"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86.7%</w:t>
            </w:r>
          </w:p>
        </w:tc>
        <w:tc>
          <w:tcPr>
            <w:tcW w:w="854" w:type="dxa"/>
            <w:vAlign w:val="center"/>
          </w:tcPr>
          <w:p w14:paraId="57AB7D31" w14:textId="6A21DDFB" w:rsidR="00D5234C" w:rsidRPr="00CD78C9" w:rsidRDefault="009B1E39" w:rsidP="00D5234C">
            <w:pPr>
              <w:jc w:val="center"/>
              <w:rPr>
                <w:rFonts w:ascii="Times New Roman"/>
                <w:color w:val="000000" w:themeColor="text1"/>
                <w:sz w:val="12"/>
                <w:szCs w:val="12"/>
              </w:rPr>
            </w:pPr>
            <w:r>
              <w:rPr>
                <w:rFonts w:ascii="Times New Roman"/>
                <w:sz w:val="12"/>
                <w:szCs w:val="12"/>
              </w:rPr>
              <w:t>62</w:t>
            </w:r>
            <w:r>
              <w:rPr>
                <w:rFonts w:ascii="Times New Roman" w:hint="eastAsia"/>
                <w:sz w:val="12"/>
                <w:szCs w:val="12"/>
              </w:rPr>
              <w:t>.1</w:t>
            </w:r>
            <w:r w:rsidR="00D5234C" w:rsidRPr="00E04E77">
              <w:rPr>
                <w:rFonts w:ascii="Times New Roman"/>
                <w:sz w:val="12"/>
                <w:szCs w:val="12"/>
              </w:rPr>
              <w:t>%-96.3%</w:t>
            </w:r>
          </w:p>
        </w:tc>
      </w:tr>
      <w:tr w:rsidR="00D5234C" w:rsidRPr="00CD78C9" w14:paraId="497AF67C" w14:textId="77777777" w:rsidTr="00DE22BB">
        <w:trPr>
          <w:jc w:val="center"/>
        </w:trPr>
        <w:tc>
          <w:tcPr>
            <w:tcW w:w="1041" w:type="dxa"/>
            <w:vMerge/>
            <w:vAlign w:val="center"/>
          </w:tcPr>
          <w:p w14:paraId="2921A40A" w14:textId="77777777" w:rsidR="00D5234C" w:rsidRPr="003A0BF1" w:rsidRDefault="00D5234C" w:rsidP="00D5234C">
            <w:pPr>
              <w:jc w:val="center"/>
              <w:rPr>
                <w:rFonts w:ascii="Times New Roman"/>
                <w:b/>
                <w:color w:val="000000" w:themeColor="text1"/>
                <w:sz w:val="12"/>
                <w:szCs w:val="12"/>
              </w:rPr>
            </w:pPr>
          </w:p>
        </w:tc>
        <w:tc>
          <w:tcPr>
            <w:tcW w:w="815" w:type="dxa"/>
            <w:vAlign w:val="center"/>
          </w:tcPr>
          <w:p w14:paraId="0A9ED858" w14:textId="77777777" w:rsidR="00D5234C" w:rsidRPr="00CD78C9" w:rsidRDefault="00D5234C" w:rsidP="00D5234C">
            <w:pPr>
              <w:jc w:val="center"/>
              <w:rPr>
                <w:rFonts w:ascii="Times New Roman"/>
                <w:color w:val="000000" w:themeColor="text1"/>
                <w:sz w:val="12"/>
                <w:szCs w:val="12"/>
              </w:rPr>
            </w:pPr>
            <w:r w:rsidRPr="00E04E77">
              <w:rPr>
                <w:rFonts w:ascii="Times New Roman"/>
                <w:sz w:val="12"/>
                <w:szCs w:val="12"/>
              </w:rPr>
              <w:t>≥15</w:t>
            </w:r>
          </w:p>
        </w:tc>
        <w:tc>
          <w:tcPr>
            <w:tcW w:w="716" w:type="dxa"/>
            <w:vAlign w:val="center"/>
          </w:tcPr>
          <w:p w14:paraId="0ADE711A"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25</w:t>
            </w:r>
          </w:p>
        </w:tc>
        <w:tc>
          <w:tcPr>
            <w:tcW w:w="962" w:type="dxa"/>
            <w:vAlign w:val="center"/>
          </w:tcPr>
          <w:p w14:paraId="12A5B0B7" w14:textId="0080F1AD" w:rsidR="00D5234C" w:rsidRPr="00CD78C9" w:rsidRDefault="009B1E39" w:rsidP="00D5234C">
            <w:pPr>
              <w:jc w:val="center"/>
              <w:rPr>
                <w:rFonts w:ascii="Times New Roman"/>
                <w:color w:val="000000" w:themeColor="text1"/>
                <w:sz w:val="12"/>
                <w:szCs w:val="12"/>
              </w:rPr>
            </w:pPr>
            <w:r>
              <w:rPr>
                <w:rFonts w:ascii="Times New Roman" w:hint="eastAsia"/>
                <w:color w:val="000000" w:themeColor="text1"/>
                <w:sz w:val="12"/>
                <w:szCs w:val="12"/>
              </w:rPr>
              <w:t>21</w:t>
            </w:r>
          </w:p>
        </w:tc>
        <w:tc>
          <w:tcPr>
            <w:tcW w:w="647" w:type="dxa"/>
            <w:vAlign w:val="center"/>
          </w:tcPr>
          <w:p w14:paraId="79790DC8" w14:textId="0AB1A299" w:rsidR="00D5234C" w:rsidRPr="00CD78C9" w:rsidRDefault="009B1E39" w:rsidP="00D5234C">
            <w:pPr>
              <w:jc w:val="center"/>
              <w:rPr>
                <w:rFonts w:ascii="Times New Roman"/>
                <w:color w:val="000000" w:themeColor="text1"/>
                <w:sz w:val="12"/>
                <w:szCs w:val="12"/>
              </w:rPr>
            </w:pPr>
            <w:r>
              <w:rPr>
                <w:rFonts w:ascii="Times New Roman" w:hint="eastAsia"/>
                <w:color w:val="000000" w:themeColor="text1"/>
                <w:sz w:val="12"/>
                <w:szCs w:val="12"/>
              </w:rPr>
              <w:t>84</w:t>
            </w:r>
            <w:r w:rsidR="00D5234C">
              <w:rPr>
                <w:rFonts w:ascii="Times New Roman" w:hint="eastAsia"/>
                <w:color w:val="000000" w:themeColor="text1"/>
                <w:sz w:val="12"/>
                <w:szCs w:val="12"/>
              </w:rPr>
              <w:t>%</w:t>
            </w:r>
          </w:p>
        </w:tc>
        <w:tc>
          <w:tcPr>
            <w:tcW w:w="854" w:type="dxa"/>
            <w:vAlign w:val="center"/>
          </w:tcPr>
          <w:p w14:paraId="34129F6D" w14:textId="3EF418BE" w:rsidR="00D5234C" w:rsidRPr="00CD78C9" w:rsidRDefault="009B1E39" w:rsidP="00D5234C">
            <w:pPr>
              <w:jc w:val="center"/>
              <w:rPr>
                <w:rFonts w:ascii="Times New Roman"/>
                <w:color w:val="000000" w:themeColor="text1"/>
                <w:sz w:val="12"/>
                <w:szCs w:val="12"/>
              </w:rPr>
            </w:pPr>
            <w:r>
              <w:rPr>
                <w:rFonts w:ascii="Times New Roman" w:hint="eastAsia"/>
                <w:sz w:val="12"/>
                <w:szCs w:val="12"/>
              </w:rPr>
              <w:t>65.3</w:t>
            </w:r>
            <w:r>
              <w:rPr>
                <w:rFonts w:ascii="Times New Roman"/>
                <w:sz w:val="12"/>
                <w:szCs w:val="12"/>
              </w:rPr>
              <w:t>%-</w:t>
            </w:r>
            <w:r>
              <w:rPr>
                <w:rFonts w:ascii="Times New Roman" w:hint="eastAsia"/>
                <w:sz w:val="12"/>
                <w:szCs w:val="12"/>
              </w:rPr>
              <w:t>93.6</w:t>
            </w:r>
            <w:r w:rsidR="00D5234C" w:rsidRPr="00E04E77">
              <w:rPr>
                <w:rFonts w:ascii="Times New Roman"/>
                <w:sz w:val="12"/>
                <w:szCs w:val="12"/>
              </w:rPr>
              <w:t>%</w:t>
            </w:r>
          </w:p>
        </w:tc>
      </w:tr>
      <w:tr w:rsidR="00D5234C" w:rsidRPr="00CD78C9" w14:paraId="5F2D720E" w14:textId="77777777" w:rsidTr="00DE22BB">
        <w:trPr>
          <w:trHeight w:val="215"/>
          <w:jc w:val="center"/>
        </w:trPr>
        <w:tc>
          <w:tcPr>
            <w:tcW w:w="1041" w:type="dxa"/>
            <w:vMerge w:val="restart"/>
            <w:vAlign w:val="center"/>
          </w:tcPr>
          <w:p w14:paraId="0D4EBD61" w14:textId="77777777" w:rsidR="00D5234C" w:rsidRPr="003A0BF1" w:rsidRDefault="00D5234C" w:rsidP="00D5234C">
            <w:pPr>
              <w:contextualSpacing/>
              <w:jc w:val="center"/>
              <w:rPr>
                <w:rFonts w:ascii="Times New Roman"/>
                <w:b/>
                <w:sz w:val="12"/>
                <w:szCs w:val="12"/>
              </w:rPr>
            </w:pPr>
            <w:r w:rsidRPr="003A0BF1">
              <w:rPr>
                <w:rFonts w:ascii="Times New Roman"/>
                <w:b/>
                <w:sz w:val="12"/>
                <w:szCs w:val="12"/>
              </w:rPr>
              <w:t>(Site 2)</w:t>
            </w:r>
          </w:p>
          <w:p w14:paraId="20C3ECE9" w14:textId="77777777" w:rsidR="00D5234C" w:rsidRPr="003A0BF1" w:rsidRDefault="00D5234C" w:rsidP="00D5234C">
            <w:pPr>
              <w:jc w:val="center"/>
              <w:rPr>
                <w:rFonts w:ascii="Times New Roman"/>
                <w:b/>
                <w:color w:val="000000" w:themeColor="text1"/>
                <w:sz w:val="12"/>
                <w:szCs w:val="12"/>
              </w:rPr>
            </w:pPr>
            <w:r w:rsidRPr="003A0BF1">
              <w:rPr>
                <w:rFonts w:ascii="Times New Roman"/>
                <w:b/>
                <w:sz w:val="12"/>
                <w:szCs w:val="12"/>
              </w:rPr>
              <w:t>Venous Whole Blood</w:t>
            </w:r>
          </w:p>
        </w:tc>
        <w:tc>
          <w:tcPr>
            <w:tcW w:w="815" w:type="dxa"/>
            <w:vAlign w:val="center"/>
          </w:tcPr>
          <w:p w14:paraId="176462BD" w14:textId="77777777" w:rsidR="00D5234C" w:rsidRPr="00CD78C9" w:rsidRDefault="00D5234C" w:rsidP="00D5234C">
            <w:pPr>
              <w:jc w:val="center"/>
              <w:rPr>
                <w:rFonts w:ascii="Times New Roman"/>
                <w:color w:val="000000" w:themeColor="text1"/>
                <w:sz w:val="12"/>
                <w:szCs w:val="12"/>
              </w:rPr>
            </w:pPr>
            <w:r w:rsidRPr="00E04E77">
              <w:rPr>
                <w:rFonts w:ascii="Times New Roman"/>
                <w:sz w:val="12"/>
                <w:szCs w:val="12"/>
              </w:rPr>
              <w:t>≤7</w:t>
            </w:r>
          </w:p>
        </w:tc>
        <w:tc>
          <w:tcPr>
            <w:tcW w:w="716" w:type="dxa"/>
            <w:vAlign w:val="center"/>
          </w:tcPr>
          <w:p w14:paraId="012CBA11"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1</w:t>
            </w:r>
          </w:p>
        </w:tc>
        <w:tc>
          <w:tcPr>
            <w:tcW w:w="962" w:type="dxa"/>
            <w:vAlign w:val="center"/>
          </w:tcPr>
          <w:p w14:paraId="2BEAC3A4"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1</w:t>
            </w:r>
          </w:p>
        </w:tc>
        <w:tc>
          <w:tcPr>
            <w:tcW w:w="647" w:type="dxa"/>
            <w:vAlign w:val="center"/>
          </w:tcPr>
          <w:p w14:paraId="68603D86"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100%</w:t>
            </w:r>
          </w:p>
        </w:tc>
        <w:tc>
          <w:tcPr>
            <w:tcW w:w="854" w:type="dxa"/>
            <w:vAlign w:val="center"/>
          </w:tcPr>
          <w:p w14:paraId="4F2525F1" w14:textId="77777777" w:rsidR="00D5234C" w:rsidRPr="00CD78C9" w:rsidRDefault="00D5234C" w:rsidP="00D5234C">
            <w:pPr>
              <w:jc w:val="center"/>
              <w:rPr>
                <w:rFonts w:ascii="Times New Roman"/>
                <w:color w:val="000000" w:themeColor="text1"/>
                <w:sz w:val="12"/>
                <w:szCs w:val="12"/>
              </w:rPr>
            </w:pPr>
            <w:r w:rsidRPr="00E04E77">
              <w:rPr>
                <w:rFonts w:ascii="Times New Roman"/>
                <w:sz w:val="12"/>
                <w:szCs w:val="12"/>
              </w:rPr>
              <w:t>20.7%-100%</w:t>
            </w:r>
          </w:p>
        </w:tc>
      </w:tr>
      <w:tr w:rsidR="00D5234C" w:rsidRPr="00CD78C9" w14:paraId="4554BBA2" w14:textId="77777777" w:rsidTr="00DE22BB">
        <w:trPr>
          <w:trHeight w:val="254"/>
          <w:jc w:val="center"/>
        </w:trPr>
        <w:tc>
          <w:tcPr>
            <w:tcW w:w="1041" w:type="dxa"/>
            <w:vMerge/>
            <w:vAlign w:val="center"/>
          </w:tcPr>
          <w:p w14:paraId="6D7D6551" w14:textId="77777777" w:rsidR="00D5234C" w:rsidRPr="003A0BF1" w:rsidRDefault="00D5234C" w:rsidP="00D5234C">
            <w:pPr>
              <w:contextualSpacing/>
              <w:jc w:val="center"/>
              <w:rPr>
                <w:rFonts w:ascii="Times New Roman"/>
                <w:b/>
                <w:sz w:val="12"/>
                <w:szCs w:val="12"/>
              </w:rPr>
            </w:pPr>
          </w:p>
        </w:tc>
        <w:tc>
          <w:tcPr>
            <w:tcW w:w="815" w:type="dxa"/>
            <w:vAlign w:val="center"/>
          </w:tcPr>
          <w:p w14:paraId="7EA4B348"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8-14</w:t>
            </w:r>
          </w:p>
        </w:tc>
        <w:tc>
          <w:tcPr>
            <w:tcW w:w="716" w:type="dxa"/>
            <w:vAlign w:val="center"/>
          </w:tcPr>
          <w:p w14:paraId="0F7ECFDD"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3</w:t>
            </w:r>
          </w:p>
        </w:tc>
        <w:tc>
          <w:tcPr>
            <w:tcW w:w="962" w:type="dxa"/>
            <w:vAlign w:val="center"/>
          </w:tcPr>
          <w:p w14:paraId="0EF90AC2"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3</w:t>
            </w:r>
          </w:p>
        </w:tc>
        <w:tc>
          <w:tcPr>
            <w:tcW w:w="647" w:type="dxa"/>
            <w:vAlign w:val="center"/>
          </w:tcPr>
          <w:p w14:paraId="031E742B"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100%</w:t>
            </w:r>
          </w:p>
        </w:tc>
        <w:tc>
          <w:tcPr>
            <w:tcW w:w="854" w:type="dxa"/>
            <w:vAlign w:val="center"/>
          </w:tcPr>
          <w:p w14:paraId="425B583C" w14:textId="77777777" w:rsidR="00D5234C" w:rsidRPr="00CD78C9" w:rsidRDefault="00D5234C" w:rsidP="00D5234C">
            <w:pPr>
              <w:jc w:val="center"/>
              <w:rPr>
                <w:rFonts w:ascii="Times New Roman"/>
                <w:color w:val="000000" w:themeColor="text1"/>
                <w:sz w:val="12"/>
                <w:szCs w:val="12"/>
              </w:rPr>
            </w:pPr>
            <w:r w:rsidRPr="00E04E77">
              <w:rPr>
                <w:rFonts w:ascii="Times New Roman"/>
                <w:sz w:val="12"/>
                <w:szCs w:val="12"/>
              </w:rPr>
              <w:t>43.9%-100%</w:t>
            </w:r>
          </w:p>
        </w:tc>
      </w:tr>
      <w:tr w:rsidR="00D5234C" w:rsidRPr="00CD78C9" w14:paraId="73075777" w14:textId="77777777" w:rsidTr="00DE22BB">
        <w:trPr>
          <w:trHeight w:val="233"/>
          <w:jc w:val="center"/>
        </w:trPr>
        <w:tc>
          <w:tcPr>
            <w:tcW w:w="1041" w:type="dxa"/>
            <w:vMerge/>
            <w:vAlign w:val="center"/>
          </w:tcPr>
          <w:p w14:paraId="5EAF0B6B" w14:textId="77777777" w:rsidR="00D5234C" w:rsidRPr="003A0BF1" w:rsidRDefault="00D5234C" w:rsidP="00D5234C">
            <w:pPr>
              <w:contextualSpacing/>
              <w:jc w:val="center"/>
              <w:rPr>
                <w:rFonts w:ascii="Times New Roman"/>
                <w:b/>
                <w:sz w:val="12"/>
                <w:szCs w:val="12"/>
              </w:rPr>
            </w:pPr>
          </w:p>
        </w:tc>
        <w:tc>
          <w:tcPr>
            <w:tcW w:w="815" w:type="dxa"/>
            <w:vAlign w:val="center"/>
          </w:tcPr>
          <w:p w14:paraId="7C55F257" w14:textId="77777777" w:rsidR="00D5234C" w:rsidRPr="00CD78C9" w:rsidRDefault="00D5234C" w:rsidP="00D5234C">
            <w:pPr>
              <w:jc w:val="center"/>
              <w:rPr>
                <w:rFonts w:ascii="Times New Roman"/>
                <w:color w:val="000000" w:themeColor="text1"/>
                <w:sz w:val="12"/>
                <w:szCs w:val="12"/>
              </w:rPr>
            </w:pPr>
            <w:r w:rsidRPr="00E04E77">
              <w:rPr>
                <w:rFonts w:ascii="Times New Roman"/>
                <w:sz w:val="12"/>
                <w:szCs w:val="12"/>
              </w:rPr>
              <w:t>≥15</w:t>
            </w:r>
          </w:p>
        </w:tc>
        <w:tc>
          <w:tcPr>
            <w:tcW w:w="716" w:type="dxa"/>
            <w:vAlign w:val="center"/>
          </w:tcPr>
          <w:p w14:paraId="083EF815"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9</w:t>
            </w:r>
          </w:p>
        </w:tc>
        <w:tc>
          <w:tcPr>
            <w:tcW w:w="962" w:type="dxa"/>
            <w:vAlign w:val="center"/>
          </w:tcPr>
          <w:p w14:paraId="72BFF67F"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9</w:t>
            </w:r>
          </w:p>
        </w:tc>
        <w:tc>
          <w:tcPr>
            <w:tcW w:w="647" w:type="dxa"/>
            <w:vAlign w:val="center"/>
          </w:tcPr>
          <w:p w14:paraId="4960612B" w14:textId="77777777" w:rsidR="00D5234C" w:rsidRPr="00CD78C9"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100%</w:t>
            </w:r>
          </w:p>
        </w:tc>
        <w:tc>
          <w:tcPr>
            <w:tcW w:w="854" w:type="dxa"/>
            <w:vAlign w:val="center"/>
          </w:tcPr>
          <w:p w14:paraId="117C925B" w14:textId="77777777" w:rsidR="00D5234C" w:rsidRPr="00CD78C9" w:rsidRDefault="00D5234C" w:rsidP="00D5234C">
            <w:pPr>
              <w:jc w:val="center"/>
              <w:rPr>
                <w:rFonts w:ascii="Times New Roman"/>
                <w:color w:val="000000" w:themeColor="text1"/>
                <w:sz w:val="12"/>
                <w:szCs w:val="12"/>
              </w:rPr>
            </w:pPr>
            <w:r w:rsidRPr="00E04E77">
              <w:rPr>
                <w:rFonts w:ascii="Times New Roman"/>
                <w:sz w:val="12"/>
                <w:szCs w:val="12"/>
              </w:rPr>
              <w:t>70.1%-100%</w:t>
            </w:r>
          </w:p>
        </w:tc>
      </w:tr>
      <w:tr w:rsidR="00D5234C" w:rsidRPr="00E04E77" w14:paraId="1A769E19" w14:textId="77777777" w:rsidTr="00DE22BB">
        <w:trPr>
          <w:trHeight w:val="233"/>
          <w:jc w:val="center"/>
        </w:trPr>
        <w:tc>
          <w:tcPr>
            <w:tcW w:w="1041" w:type="dxa"/>
            <w:vAlign w:val="center"/>
          </w:tcPr>
          <w:p w14:paraId="7BB36916" w14:textId="77777777" w:rsidR="00D5234C" w:rsidRPr="003A0BF1" w:rsidRDefault="00D5234C" w:rsidP="00D5234C">
            <w:pPr>
              <w:contextualSpacing/>
              <w:jc w:val="center"/>
              <w:rPr>
                <w:rFonts w:ascii="Times New Roman"/>
                <w:b/>
                <w:sz w:val="12"/>
                <w:szCs w:val="12"/>
              </w:rPr>
            </w:pPr>
            <w:r w:rsidRPr="003A0BF1">
              <w:rPr>
                <w:rFonts w:ascii="Times New Roman" w:hint="eastAsia"/>
                <w:b/>
                <w:sz w:val="12"/>
                <w:szCs w:val="12"/>
              </w:rPr>
              <w:t>Combined Sites (Serum</w:t>
            </w:r>
            <w:r>
              <w:rPr>
                <w:rFonts w:ascii="Times New Roman" w:hint="eastAsia"/>
                <w:b/>
                <w:sz w:val="12"/>
                <w:szCs w:val="12"/>
              </w:rPr>
              <w:t xml:space="preserve"> </w:t>
            </w:r>
            <w:r w:rsidRPr="003A0BF1">
              <w:rPr>
                <w:rFonts w:ascii="Times New Roman" w:hint="eastAsia"/>
                <w:b/>
                <w:sz w:val="12"/>
                <w:szCs w:val="12"/>
              </w:rPr>
              <w:t>+</w:t>
            </w:r>
            <w:r>
              <w:rPr>
                <w:rFonts w:ascii="Times New Roman" w:hint="eastAsia"/>
                <w:b/>
                <w:sz w:val="12"/>
                <w:szCs w:val="12"/>
              </w:rPr>
              <w:t xml:space="preserve"> </w:t>
            </w:r>
            <w:r w:rsidRPr="003A0BF1">
              <w:rPr>
                <w:rFonts w:ascii="Times New Roman" w:hint="eastAsia"/>
                <w:b/>
                <w:sz w:val="12"/>
                <w:szCs w:val="12"/>
              </w:rPr>
              <w:t>Blood)</w:t>
            </w:r>
          </w:p>
        </w:tc>
        <w:tc>
          <w:tcPr>
            <w:tcW w:w="815" w:type="dxa"/>
            <w:vAlign w:val="center"/>
          </w:tcPr>
          <w:p w14:paraId="2CD370BF" w14:textId="77777777" w:rsidR="00D5234C" w:rsidRPr="00E04E77" w:rsidRDefault="00D5234C" w:rsidP="00D5234C">
            <w:pPr>
              <w:jc w:val="center"/>
              <w:rPr>
                <w:rFonts w:ascii="Times New Roman"/>
                <w:sz w:val="12"/>
                <w:szCs w:val="12"/>
              </w:rPr>
            </w:pPr>
            <w:r>
              <w:rPr>
                <w:rFonts w:ascii="Times New Roman" w:hint="eastAsia"/>
                <w:sz w:val="12"/>
                <w:szCs w:val="12"/>
              </w:rPr>
              <w:t>-</w:t>
            </w:r>
          </w:p>
        </w:tc>
        <w:tc>
          <w:tcPr>
            <w:tcW w:w="716" w:type="dxa"/>
            <w:vAlign w:val="center"/>
          </w:tcPr>
          <w:p w14:paraId="46991DB0" w14:textId="77777777" w:rsidR="00D5234C" w:rsidRDefault="00D5234C" w:rsidP="00D5234C">
            <w:pPr>
              <w:jc w:val="center"/>
              <w:rPr>
                <w:rFonts w:ascii="Times New Roman"/>
                <w:color w:val="000000" w:themeColor="text1"/>
                <w:sz w:val="12"/>
                <w:szCs w:val="12"/>
              </w:rPr>
            </w:pPr>
            <w:r>
              <w:rPr>
                <w:rFonts w:ascii="Times New Roman" w:hint="eastAsia"/>
                <w:color w:val="000000" w:themeColor="text1"/>
                <w:sz w:val="12"/>
                <w:szCs w:val="12"/>
              </w:rPr>
              <w:t>61</w:t>
            </w:r>
          </w:p>
        </w:tc>
        <w:tc>
          <w:tcPr>
            <w:tcW w:w="962" w:type="dxa"/>
            <w:vAlign w:val="center"/>
          </w:tcPr>
          <w:p w14:paraId="7B14BBA8" w14:textId="405FAA04" w:rsidR="00D5234C" w:rsidRDefault="009B1E39" w:rsidP="00D5234C">
            <w:pPr>
              <w:jc w:val="center"/>
              <w:rPr>
                <w:rFonts w:ascii="Times New Roman"/>
                <w:color w:val="000000" w:themeColor="text1"/>
                <w:sz w:val="12"/>
                <w:szCs w:val="12"/>
              </w:rPr>
            </w:pPr>
            <w:r>
              <w:rPr>
                <w:rFonts w:ascii="Times New Roman" w:hint="eastAsia"/>
                <w:color w:val="000000" w:themeColor="text1"/>
                <w:sz w:val="12"/>
                <w:szCs w:val="12"/>
              </w:rPr>
              <w:t>55</w:t>
            </w:r>
          </w:p>
        </w:tc>
        <w:tc>
          <w:tcPr>
            <w:tcW w:w="647" w:type="dxa"/>
            <w:vAlign w:val="center"/>
          </w:tcPr>
          <w:p w14:paraId="65700A40" w14:textId="70441397" w:rsidR="00D5234C" w:rsidRDefault="009B1E39" w:rsidP="00D5234C">
            <w:pPr>
              <w:jc w:val="center"/>
              <w:rPr>
                <w:rFonts w:ascii="Times New Roman"/>
                <w:color w:val="000000" w:themeColor="text1"/>
                <w:sz w:val="12"/>
                <w:szCs w:val="12"/>
              </w:rPr>
            </w:pPr>
            <w:r>
              <w:rPr>
                <w:rFonts w:ascii="Times New Roman" w:hint="eastAsia"/>
                <w:color w:val="000000" w:themeColor="text1"/>
                <w:sz w:val="12"/>
                <w:szCs w:val="12"/>
              </w:rPr>
              <w:t>90.2</w:t>
            </w:r>
            <w:r w:rsidR="00D5234C">
              <w:rPr>
                <w:rFonts w:ascii="Times New Roman" w:hint="eastAsia"/>
                <w:color w:val="000000" w:themeColor="text1"/>
                <w:sz w:val="12"/>
                <w:szCs w:val="12"/>
              </w:rPr>
              <w:t>%</w:t>
            </w:r>
          </w:p>
        </w:tc>
        <w:tc>
          <w:tcPr>
            <w:tcW w:w="854" w:type="dxa"/>
            <w:vAlign w:val="center"/>
          </w:tcPr>
          <w:p w14:paraId="16461A96" w14:textId="4D0B4EE8" w:rsidR="00D5234C" w:rsidRPr="00E04E77" w:rsidRDefault="009B1E39" w:rsidP="00D5234C">
            <w:pPr>
              <w:jc w:val="center"/>
              <w:rPr>
                <w:rFonts w:ascii="Times New Roman"/>
                <w:sz w:val="12"/>
                <w:szCs w:val="12"/>
              </w:rPr>
            </w:pPr>
            <w:r>
              <w:rPr>
                <w:rFonts w:ascii="Times New Roman" w:hint="eastAsia"/>
                <w:sz w:val="12"/>
                <w:szCs w:val="12"/>
              </w:rPr>
              <w:t>80.2%-95.4</w:t>
            </w:r>
            <w:r w:rsidR="00D5234C">
              <w:rPr>
                <w:rFonts w:ascii="Times New Roman" w:hint="eastAsia"/>
                <w:sz w:val="12"/>
                <w:szCs w:val="12"/>
              </w:rPr>
              <w:t>%</w:t>
            </w:r>
          </w:p>
        </w:tc>
      </w:tr>
    </w:tbl>
    <w:p w14:paraId="65102EDE" w14:textId="77777777" w:rsidR="00D5234C" w:rsidRDefault="00D5234C">
      <w:pPr>
        <w:rPr>
          <w:rFonts w:ascii="Times New Roman"/>
          <w:b/>
          <w:color w:val="000000" w:themeColor="text1"/>
          <w:sz w:val="12"/>
          <w:szCs w:val="12"/>
        </w:rPr>
      </w:pPr>
    </w:p>
    <w:p w14:paraId="70FD1AB5" w14:textId="38F67F99" w:rsidR="00DE22BB" w:rsidRPr="00DE22BB" w:rsidRDefault="00DE22BB" w:rsidP="00DE22BB">
      <w:pPr>
        <w:rPr>
          <w:rFonts w:ascii="Times New Roman"/>
          <w:b/>
          <w:color w:val="000000" w:themeColor="text1"/>
          <w:sz w:val="12"/>
          <w:szCs w:val="12"/>
        </w:rPr>
      </w:pPr>
      <w:r w:rsidRPr="005646E1">
        <w:rPr>
          <w:rFonts w:ascii="Times New Roman"/>
          <w:b/>
          <w:color w:val="000000" w:themeColor="text1"/>
          <w:sz w:val="12"/>
          <w:szCs w:val="12"/>
        </w:rPr>
        <w:t xml:space="preserve">Table 4. </w:t>
      </w:r>
      <w:r w:rsidR="00D5234C" w:rsidRPr="005646E1">
        <w:rPr>
          <w:rFonts w:ascii="Times New Roman" w:hint="eastAsia"/>
          <w:b/>
          <w:color w:val="000000" w:themeColor="text1"/>
          <w:sz w:val="12"/>
          <w:szCs w:val="12"/>
        </w:rPr>
        <w:t>IgM NPA</w:t>
      </w:r>
      <w:r w:rsidRPr="005646E1">
        <w:rPr>
          <w:rFonts w:ascii="Times New Roman" w:eastAsia="SimSun"/>
          <w:b/>
          <w:sz w:val="12"/>
          <w:szCs w:val="12"/>
        </w:rPr>
        <w:t xml:space="preserve"> for the </w:t>
      </w:r>
      <w:r w:rsidRPr="005646E1">
        <w:rPr>
          <w:rFonts w:ascii="Times New Roman" w:hint="eastAsia"/>
          <w:b/>
          <w:sz w:val="12"/>
          <w:szCs w:val="12"/>
        </w:rPr>
        <w:t>Assure COVID-19 IgG/IgM Rapid Test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735"/>
        <w:gridCol w:w="872"/>
        <w:gridCol w:w="738"/>
        <w:gridCol w:w="869"/>
      </w:tblGrid>
      <w:tr w:rsidR="002D1330" w:rsidRPr="00CD78C9" w14:paraId="658B78FB" w14:textId="77777777" w:rsidTr="00366C0F">
        <w:trPr>
          <w:trHeight w:val="548"/>
          <w:jc w:val="center"/>
        </w:trPr>
        <w:tc>
          <w:tcPr>
            <w:tcW w:w="1821" w:type="dxa"/>
            <w:vMerge w:val="restart"/>
            <w:shd w:val="clear" w:color="auto" w:fill="D9D9D9" w:themeFill="background1" w:themeFillShade="D9"/>
            <w:vAlign w:val="center"/>
          </w:tcPr>
          <w:p w14:paraId="1888F463" w14:textId="77777777" w:rsidR="002D1330" w:rsidRPr="003A0BF1" w:rsidRDefault="002D1330" w:rsidP="00C123DF">
            <w:pPr>
              <w:jc w:val="center"/>
              <w:rPr>
                <w:rFonts w:ascii="Times New Roman"/>
                <w:b/>
                <w:color w:val="000000" w:themeColor="text1"/>
                <w:sz w:val="12"/>
                <w:szCs w:val="12"/>
              </w:rPr>
            </w:pPr>
            <w:r w:rsidRPr="003A0BF1">
              <w:rPr>
                <w:rFonts w:ascii="Times New Roman" w:hint="eastAsia"/>
                <w:b/>
                <w:color w:val="000000" w:themeColor="text1"/>
                <w:sz w:val="12"/>
                <w:szCs w:val="12"/>
              </w:rPr>
              <w:t>Site</w:t>
            </w:r>
          </w:p>
        </w:tc>
        <w:tc>
          <w:tcPr>
            <w:tcW w:w="735" w:type="dxa"/>
            <w:vMerge w:val="restart"/>
            <w:shd w:val="clear" w:color="auto" w:fill="D9D9D9" w:themeFill="background1" w:themeFillShade="D9"/>
            <w:vAlign w:val="center"/>
          </w:tcPr>
          <w:p w14:paraId="5914426B" w14:textId="77777777" w:rsidR="002D1330" w:rsidRPr="00CD78C9" w:rsidRDefault="002D1330" w:rsidP="00C123DF">
            <w:pPr>
              <w:jc w:val="center"/>
              <w:rPr>
                <w:rFonts w:ascii="Times New Roman"/>
                <w:color w:val="000000" w:themeColor="text1"/>
                <w:sz w:val="12"/>
                <w:szCs w:val="12"/>
              </w:rPr>
            </w:pPr>
            <w:r w:rsidRPr="00E04E77">
              <w:rPr>
                <w:rFonts w:ascii="Times New Roman"/>
                <w:b/>
                <w:bCs/>
                <w:sz w:val="12"/>
                <w:szCs w:val="12"/>
              </w:rPr>
              <w:t xml:space="preserve"># PCR </w:t>
            </w:r>
            <w:r>
              <w:rPr>
                <w:rFonts w:ascii="Times New Roman" w:hint="eastAsia"/>
                <w:b/>
                <w:bCs/>
                <w:sz w:val="12"/>
                <w:szCs w:val="12"/>
              </w:rPr>
              <w:t>Negative</w:t>
            </w:r>
          </w:p>
        </w:tc>
        <w:tc>
          <w:tcPr>
            <w:tcW w:w="2479" w:type="dxa"/>
            <w:gridSpan w:val="3"/>
            <w:shd w:val="clear" w:color="auto" w:fill="D9D9D9" w:themeFill="background1" w:themeFillShade="D9"/>
            <w:vAlign w:val="center"/>
          </w:tcPr>
          <w:p w14:paraId="7944F582" w14:textId="77777777" w:rsidR="002D1330" w:rsidRPr="00CD78C9" w:rsidRDefault="002D1330" w:rsidP="00C123DF">
            <w:pPr>
              <w:jc w:val="center"/>
              <w:rPr>
                <w:rFonts w:ascii="Times New Roman"/>
                <w:color w:val="000000" w:themeColor="text1"/>
                <w:sz w:val="12"/>
                <w:szCs w:val="12"/>
              </w:rPr>
            </w:pPr>
            <w:r>
              <w:rPr>
                <w:rFonts w:ascii="Times New Roman" w:hint="eastAsia"/>
                <w:b/>
                <w:sz w:val="12"/>
                <w:szCs w:val="12"/>
              </w:rPr>
              <w:t xml:space="preserve">Assure </w:t>
            </w:r>
            <w:r w:rsidRPr="00E04E77">
              <w:rPr>
                <w:rFonts w:ascii="Times New Roman"/>
                <w:b/>
                <w:sz w:val="12"/>
                <w:szCs w:val="12"/>
              </w:rPr>
              <w:t>COVID-19 IgG/IgM Rapid Test Device</w:t>
            </w:r>
          </w:p>
        </w:tc>
      </w:tr>
      <w:tr w:rsidR="002D1330" w:rsidRPr="00CD78C9" w14:paraId="635D4ACA" w14:textId="77777777" w:rsidTr="00366C0F">
        <w:trPr>
          <w:trHeight w:val="426"/>
          <w:jc w:val="center"/>
        </w:trPr>
        <w:tc>
          <w:tcPr>
            <w:tcW w:w="1821" w:type="dxa"/>
            <w:vMerge/>
            <w:shd w:val="clear" w:color="auto" w:fill="D9D9D9" w:themeFill="background1" w:themeFillShade="D9"/>
            <w:vAlign w:val="center"/>
          </w:tcPr>
          <w:p w14:paraId="32AD1FA8" w14:textId="77777777" w:rsidR="002D1330" w:rsidRPr="003A0BF1" w:rsidRDefault="002D1330" w:rsidP="00C123DF">
            <w:pPr>
              <w:jc w:val="center"/>
              <w:rPr>
                <w:rFonts w:ascii="Times New Roman"/>
                <w:b/>
                <w:color w:val="000000" w:themeColor="text1"/>
                <w:sz w:val="12"/>
                <w:szCs w:val="12"/>
              </w:rPr>
            </w:pPr>
          </w:p>
        </w:tc>
        <w:tc>
          <w:tcPr>
            <w:tcW w:w="735" w:type="dxa"/>
            <w:vMerge/>
            <w:shd w:val="clear" w:color="auto" w:fill="D9D9D9" w:themeFill="background1" w:themeFillShade="D9"/>
            <w:vAlign w:val="center"/>
          </w:tcPr>
          <w:p w14:paraId="36A44E24" w14:textId="77777777" w:rsidR="002D1330" w:rsidRPr="00E04E77" w:rsidRDefault="002D1330" w:rsidP="00C123DF">
            <w:pPr>
              <w:jc w:val="center"/>
              <w:rPr>
                <w:rFonts w:ascii="Times New Roman"/>
                <w:b/>
                <w:bCs/>
                <w:sz w:val="12"/>
                <w:szCs w:val="12"/>
              </w:rPr>
            </w:pPr>
          </w:p>
        </w:tc>
        <w:tc>
          <w:tcPr>
            <w:tcW w:w="872" w:type="dxa"/>
            <w:shd w:val="clear" w:color="auto" w:fill="D9D9D9" w:themeFill="background1" w:themeFillShade="D9"/>
            <w:vAlign w:val="center"/>
          </w:tcPr>
          <w:p w14:paraId="58569A50" w14:textId="77777777" w:rsidR="002D1330" w:rsidRPr="00CD78C9" w:rsidRDefault="002D1330" w:rsidP="00C123DF">
            <w:pPr>
              <w:jc w:val="center"/>
              <w:rPr>
                <w:rFonts w:ascii="Times New Roman"/>
                <w:b/>
                <w:color w:val="000000" w:themeColor="text1"/>
                <w:sz w:val="12"/>
                <w:szCs w:val="12"/>
              </w:rPr>
            </w:pPr>
            <w:r w:rsidRPr="00CD78C9">
              <w:rPr>
                <w:rFonts w:ascii="Times New Roman" w:hint="eastAsia"/>
                <w:b/>
                <w:color w:val="000000" w:themeColor="text1"/>
                <w:sz w:val="12"/>
                <w:szCs w:val="12"/>
              </w:rPr>
              <w:t>#</w:t>
            </w:r>
            <w:r>
              <w:rPr>
                <w:rFonts w:ascii="Times New Roman" w:hint="eastAsia"/>
                <w:b/>
                <w:color w:val="000000" w:themeColor="text1"/>
                <w:sz w:val="12"/>
                <w:szCs w:val="12"/>
              </w:rPr>
              <w:t>Negative</w:t>
            </w:r>
            <w:r w:rsidRPr="00CD78C9">
              <w:rPr>
                <w:rFonts w:ascii="Times New Roman" w:hint="eastAsia"/>
                <w:b/>
                <w:color w:val="000000" w:themeColor="text1"/>
                <w:sz w:val="12"/>
                <w:szCs w:val="12"/>
              </w:rPr>
              <w:t xml:space="preserve"> Results</w:t>
            </w:r>
          </w:p>
        </w:tc>
        <w:tc>
          <w:tcPr>
            <w:tcW w:w="738" w:type="dxa"/>
            <w:shd w:val="clear" w:color="auto" w:fill="D9D9D9" w:themeFill="background1" w:themeFillShade="D9"/>
            <w:vAlign w:val="center"/>
          </w:tcPr>
          <w:p w14:paraId="0D6AC3BC" w14:textId="77777777" w:rsidR="002D1330" w:rsidRPr="00CD78C9" w:rsidRDefault="002D1330" w:rsidP="00C123DF">
            <w:pPr>
              <w:jc w:val="center"/>
              <w:rPr>
                <w:rFonts w:ascii="Times New Roman"/>
                <w:b/>
                <w:color w:val="000000" w:themeColor="text1"/>
                <w:sz w:val="12"/>
                <w:szCs w:val="12"/>
              </w:rPr>
            </w:pPr>
            <w:r>
              <w:rPr>
                <w:rFonts w:ascii="Times New Roman" w:hint="eastAsia"/>
                <w:b/>
                <w:color w:val="000000" w:themeColor="text1"/>
                <w:sz w:val="12"/>
                <w:szCs w:val="12"/>
              </w:rPr>
              <w:t>N</w:t>
            </w:r>
            <w:r w:rsidRPr="00CD78C9">
              <w:rPr>
                <w:rFonts w:ascii="Times New Roman" w:hint="eastAsia"/>
                <w:b/>
                <w:color w:val="000000" w:themeColor="text1"/>
                <w:sz w:val="12"/>
                <w:szCs w:val="12"/>
              </w:rPr>
              <w:t>PA</w:t>
            </w:r>
          </w:p>
        </w:tc>
        <w:tc>
          <w:tcPr>
            <w:tcW w:w="869" w:type="dxa"/>
            <w:shd w:val="clear" w:color="auto" w:fill="D9D9D9" w:themeFill="background1" w:themeFillShade="D9"/>
            <w:vAlign w:val="center"/>
          </w:tcPr>
          <w:p w14:paraId="53E3C083" w14:textId="77777777" w:rsidR="002D1330" w:rsidRPr="00CD78C9" w:rsidRDefault="002D1330" w:rsidP="00C123DF">
            <w:pPr>
              <w:jc w:val="center"/>
              <w:rPr>
                <w:rFonts w:ascii="Times New Roman"/>
                <w:b/>
                <w:color w:val="000000" w:themeColor="text1"/>
                <w:sz w:val="12"/>
                <w:szCs w:val="12"/>
              </w:rPr>
            </w:pPr>
            <w:r w:rsidRPr="00CD78C9">
              <w:rPr>
                <w:rFonts w:ascii="Times New Roman" w:hint="eastAsia"/>
                <w:b/>
                <w:color w:val="000000" w:themeColor="text1"/>
                <w:sz w:val="12"/>
                <w:szCs w:val="12"/>
              </w:rPr>
              <w:t>95%CI</w:t>
            </w:r>
          </w:p>
        </w:tc>
      </w:tr>
      <w:tr w:rsidR="002D1330" w:rsidRPr="00CD78C9" w14:paraId="39C6C8DE" w14:textId="77777777" w:rsidTr="00366C0F">
        <w:trPr>
          <w:jc w:val="center"/>
        </w:trPr>
        <w:tc>
          <w:tcPr>
            <w:tcW w:w="1821" w:type="dxa"/>
            <w:vAlign w:val="center"/>
          </w:tcPr>
          <w:p w14:paraId="0D0B0220" w14:textId="77777777" w:rsidR="002D1330" w:rsidRPr="003A0BF1" w:rsidRDefault="002D1330" w:rsidP="00C123DF">
            <w:pPr>
              <w:jc w:val="center"/>
              <w:rPr>
                <w:rFonts w:ascii="Times New Roman"/>
                <w:b/>
                <w:color w:val="000000" w:themeColor="text1"/>
                <w:sz w:val="12"/>
                <w:szCs w:val="12"/>
              </w:rPr>
            </w:pPr>
            <w:r w:rsidRPr="003A0BF1">
              <w:rPr>
                <w:rFonts w:ascii="Times New Roman" w:hint="eastAsia"/>
                <w:b/>
                <w:color w:val="000000" w:themeColor="text1"/>
                <w:sz w:val="12"/>
                <w:szCs w:val="12"/>
              </w:rPr>
              <w:t>(Site 1+3+4)</w:t>
            </w:r>
          </w:p>
          <w:p w14:paraId="7A5D37D3" w14:textId="77777777" w:rsidR="002D1330" w:rsidRPr="003A0BF1" w:rsidRDefault="002D1330" w:rsidP="00C123DF">
            <w:pPr>
              <w:jc w:val="center"/>
              <w:rPr>
                <w:rFonts w:ascii="Times New Roman"/>
                <w:b/>
                <w:color w:val="000000" w:themeColor="text1"/>
                <w:sz w:val="12"/>
                <w:szCs w:val="12"/>
              </w:rPr>
            </w:pPr>
            <w:r w:rsidRPr="003A0BF1">
              <w:rPr>
                <w:rFonts w:ascii="Times New Roman" w:hint="eastAsia"/>
                <w:b/>
                <w:color w:val="000000" w:themeColor="text1"/>
                <w:sz w:val="12"/>
                <w:szCs w:val="12"/>
              </w:rPr>
              <w:t>Serum</w:t>
            </w:r>
          </w:p>
        </w:tc>
        <w:tc>
          <w:tcPr>
            <w:tcW w:w="735" w:type="dxa"/>
            <w:vAlign w:val="center"/>
          </w:tcPr>
          <w:p w14:paraId="65338E50" w14:textId="77777777" w:rsidR="002D1330" w:rsidRPr="00CD78C9" w:rsidRDefault="002D1330" w:rsidP="00C123DF">
            <w:pPr>
              <w:jc w:val="center"/>
              <w:rPr>
                <w:rFonts w:ascii="Times New Roman"/>
                <w:color w:val="000000" w:themeColor="text1"/>
                <w:sz w:val="12"/>
                <w:szCs w:val="12"/>
              </w:rPr>
            </w:pPr>
            <w:r>
              <w:rPr>
                <w:rFonts w:ascii="Times New Roman" w:hint="eastAsia"/>
                <w:color w:val="000000" w:themeColor="text1"/>
                <w:sz w:val="12"/>
                <w:szCs w:val="12"/>
              </w:rPr>
              <w:t>96</w:t>
            </w:r>
          </w:p>
        </w:tc>
        <w:tc>
          <w:tcPr>
            <w:tcW w:w="872" w:type="dxa"/>
            <w:vAlign w:val="center"/>
          </w:tcPr>
          <w:p w14:paraId="05E78C3A" w14:textId="6BB9A3C8" w:rsidR="002D1330" w:rsidRPr="00CD78C9" w:rsidRDefault="002D1330" w:rsidP="00C123DF">
            <w:pPr>
              <w:jc w:val="center"/>
              <w:rPr>
                <w:rFonts w:ascii="Times New Roman"/>
                <w:color w:val="000000" w:themeColor="text1"/>
                <w:sz w:val="12"/>
                <w:szCs w:val="12"/>
              </w:rPr>
            </w:pPr>
            <w:r>
              <w:rPr>
                <w:rFonts w:ascii="Times New Roman" w:hint="eastAsia"/>
                <w:color w:val="000000" w:themeColor="text1"/>
                <w:sz w:val="12"/>
                <w:szCs w:val="12"/>
              </w:rPr>
              <w:t>94</w:t>
            </w:r>
          </w:p>
        </w:tc>
        <w:tc>
          <w:tcPr>
            <w:tcW w:w="738" w:type="dxa"/>
            <w:vAlign w:val="center"/>
          </w:tcPr>
          <w:p w14:paraId="1EFB3589" w14:textId="552A0DDE" w:rsidR="002D1330" w:rsidRPr="00CD78C9" w:rsidRDefault="002D1330" w:rsidP="00C123DF">
            <w:pPr>
              <w:jc w:val="center"/>
              <w:rPr>
                <w:rFonts w:ascii="Times New Roman"/>
                <w:color w:val="000000" w:themeColor="text1"/>
                <w:sz w:val="12"/>
                <w:szCs w:val="12"/>
              </w:rPr>
            </w:pPr>
            <w:r>
              <w:rPr>
                <w:rFonts w:ascii="Times New Roman" w:hint="eastAsia"/>
                <w:color w:val="000000" w:themeColor="text1"/>
                <w:sz w:val="12"/>
                <w:szCs w:val="12"/>
              </w:rPr>
              <w:t>97.9%</w:t>
            </w:r>
          </w:p>
        </w:tc>
        <w:tc>
          <w:tcPr>
            <w:tcW w:w="869" w:type="dxa"/>
            <w:vAlign w:val="center"/>
          </w:tcPr>
          <w:p w14:paraId="26417F8B" w14:textId="79D74489" w:rsidR="002D1330" w:rsidRPr="00CD78C9" w:rsidRDefault="002D1330" w:rsidP="00C123DF">
            <w:pPr>
              <w:jc w:val="center"/>
              <w:rPr>
                <w:rFonts w:ascii="Times New Roman"/>
                <w:color w:val="000000" w:themeColor="text1"/>
                <w:sz w:val="12"/>
                <w:szCs w:val="12"/>
              </w:rPr>
            </w:pPr>
            <w:r>
              <w:rPr>
                <w:rFonts w:ascii="Times New Roman" w:hint="eastAsia"/>
                <w:sz w:val="12"/>
                <w:szCs w:val="12"/>
              </w:rPr>
              <w:t>92.7</w:t>
            </w:r>
            <w:r>
              <w:rPr>
                <w:rFonts w:ascii="Times New Roman"/>
                <w:sz w:val="12"/>
                <w:szCs w:val="12"/>
              </w:rPr>
              <w:t>%-</w:t>
            </w:r>
            <w:r>
              <w:rPr>
                <w:rFonts w:ascii="Times New Roman" w:hint="eastAsia"/>
                <w:sz w:val="12"/>
                <w:szCs w:val="12"/>
              </w:rPr>
              <w:t>99.4</w:t>
            </w:r>
            <w:r w:rsidRPr="00E04E77">
              <w:rPr>
                <w:rFonts w:ascii="Times New Roman"/>
                <w:sz w:val="12"/>
                <w:szCs w:val="12"/>
              </w:rPr>
              <w:t>%</w:t>
            </w:r>
          </w:p>
        </w:tc>
      </w:tr>
      <w:tr w:rsidR="002D1330" w:rsidRPr="00CD78C9" w14:paraId="40ED8F26" w14:textId="77777777" w:rsidTr="00366C0F">
        <w:trPr>
          <w:trHeight w:val="431"/>
          <w:jc w:val="center"/>
        </w:trPr>
        <w:tc>
          <w:tcPr>
            <w:tcW w:w="1821" w:type="dxa"/>
            <w:vAlign w:val="center"/>
          </w:tcPr>
          <w:p w14:paraId="1A14D088" w14:textId="77777777" w:rsidR="002D1330" w:rsidRPr="003A0BF1" w:rsidRDefault="002D1330" w:rsidP="00C123DF">
            <w:pPr>
              <w:contextualSpacing/>
              <w:jc w:val="center"/>
              <w:rPr>
                <w:rFonts w:ascii="Times New Roman"/>
                <w:b/>
                <w:sz w:val="12"/>
                <w:szCs w:val="12"/>
              </w:rPr>
            </w:pPr>
            <w:r w:rsidRPr="003A0BF1">
              <w:rPr>
                <w:rFonts w:ascii="Times New Roman"/>
                <w:b/>
                <w:sz w:val="12"/>
                <w:szCs w:val="12"/>
              </w:rPr>
              <w:t>(Site 2)</w:t>
            </w:r>
          </w:p>
          <w:p w14:paraId="2B90A9C1" w14:textId="77777777" w:rsidR="002D1330" w:rsidRPr="003A0BF1" w:rsidRDefault="002D1330" w:rsidP="00C123DF">
            <w:pPr>
              <w:jc w:val="center"/>
              <w:rPr>
                <w:rFonts w:ascii="Times New Roman"/>
                <w:b/>
                <w:color w:val="000000" w:themeColor="text1"/>
                <w:sz w:val="12"/>
                <w:szCs w:val="12"/>
              </w:rPr>
            </w:pPr>
            <w:r w:rsidRPr="003A0BF1">
              <w:rPr>
                <w:rFonts w:ascii="Times New Roman"/>
                <w:b/>
                <w:sz w:val="12"/>
                <w:szCs w:val="12"/>
              </w:rPr>
              <w:t>Venous Whole Blood</w:t>
            </w:r>
          </w:p>
        </w:tc>
        <w:tc>
          <w:tcPr>
            <w:tcW w:w="735" w:type="dxa"/>
            <w:vAlign w:val="center"/>
          </w:tcPr>
          <w:p w14:paraId="67CD1B5D" w14:textId="77777777" w:rsidR="002D1330" w:rsidRPr="00CD78C9" w:rsidRDefault="002D1330" w:rsidP="00C123DF">
            <w:pPr>
              <w:jc w:val="center"/>
              <w:rPr>
                <w:rFonts w:ascii="Times New Roman"/>
                <w:color w:val="000000" w:themeColor="text1"/>
                <w:sz w:val="12"/>
                <w:szCs w:val="12"/>
              </w:rPr>
            </w:pPr>
            <w:r>
              <w:rPr>
                <w:rFonts w:ascii="Times New Roman" w:hint="eastAsia"/>
                <w:color w:val="000000" w:themeColor="text1"/>
                <w:sz w:val="12"/>
                <w:szCs w:val="12"/>
              </w:rPr>
              <w:t>9</w:t>
            </w:r>
          </w:p>
        </w:tc>
        <w:tc>
          <w:tcPr>
            <w:tcW w:w="872" w:type="dxa"/>
            <w:vAlign w:val="center"/>
          </w:tcPr>
          <w:p w14:paraId="429FBF36" w14:textId="77777777" w:rsidR="002D1330" w:rsidRPr="00CD78C9" w:rsidRDefault="002D1330" w:rsidP="00C123DF">
            <w:pPr>
              <w:jc w:val="center"/>
              <w:rPr>
                <w:rFonts w:ascii="Times New Roman"/>
                <w:color w:val="000000" w:themeColor="text1"/>
                <w:sz w:val="12"/>
                <w:szCs w:val="12"/>
              </w:rPr>
            </w:pPr>
            <w:r>
              <w:rPr>
                <w:rFonts w:ascii="Times New Roman" w:hint="eastAsia"/>
                <w:color w:val="000000" w:themeColor="text1"/>
                <w:sz w:val="12"/>
                <w:szCs w:val="12"/>
              </w:rPr>
              <w:t>9</w:t>
            </w:r>
          </w:p>
        </w:tc>
        <w:tc>
          <w:tcPr>
            <w:tcW w:w="738" w:type="dxa"/>
            <w:vAlign w:val="center"/>
          </w:tcPr>
          <w:p w14:paraId="05776133" w14:textId="77777777" w:rsidR="002D1330" w:rsidRPr="00CD78C9" w:rsidRDefault="002D1330" w:rsidP="00C123DF">
            <w:pPr>
              <w:jc w:val="center"/>
              <w:rPr>
                <w:rFonts w:ascii="Times New Roman"/>
                <w:color w:val="000000" w:themeColor="text1"/>
                <w:sz w:val="12"/>
                <w:szCs w:val="12"/>
              </w:rPr>
            </w:pPr>
            <w:r>
              <w:rPr>
                <w:rFonts w:ascii="Times New Roman" w:hint="eastAsia"/>
                <w:color w:val="000000" w:themeColor="text1"/>
                <w:sz w:val="12"/>
                <w:szCs w:val="12"/>
              </w:rPr>
              <w:t>100%</w:t>
            </w:r>
          </w:p>
        </w:tc>
        <w:tc>
          <w:tcPr>
            <w:tcW w:w="869" w:type="dxa"/>
            <w:vAlign w:val="center"/>
          </w:tcPr>
          <w:p w14:paraId="4FD88831" w14:textId="77777777" w:rsidR="002D1330" w:rsidRPr="00CD78C9" w:rsidRDefault="002D1330" w:rsidP="00C123DF">
            <w:pPr>
              <w:jc w:val="center"/>
              <w:rPr>
                <w:rFonts w:ascii="Times New Roman"/>
                <w:color w:val="000000" w:themeColor="text1"/>
                <w:sz w:val="12"/>
                <w:szCs w:val="12"/>
              </w:rPr>
            </w:pPr>
            <w:r>
              <w:rPr>
                <w:rFonts w:ascii="Times New Roman" w:hint="eastAsia"/>
                <w:sz w:val="12"/>
                <w:szCs w:val="12"/>
              </w:rPr>
              <w:t>70.1</w:t>
            </w:r>
            <w:r w:rsidRPr="00E04E77">
              <w:rPr>
                <w:rFonts w:ascii="Times New Roman"/>
                <w:sz w:val="12"/>
                <w:szCs w:val="12"/>
              </w:rPr>
              <w:t>%-100%</w:t>
            </w:r>
          </w:p>
        </w:tc>
      </w:tr>
      <w:tr w:rsidR="002D1330" w:rsidRPr="00E04E77" w14:paraId="460383D8" w14:textId="77777777" w:rsidTr="00366C0F">
        <w:trPr>
          <w:trHeight w:val="494"/>
          <w:jc w:val="center"/>
        </w:trPr>
        <w:tc>
          <w:tcPr>
            <w:tcW w:w="1821" w:type="dxa"/>
            <w:vAlign w:val="center"/>
          </w:tcPr>
          <w:p w14:paraId="74998C5A" w14:textId="77777777" w:rsidR="002D1330" w:rsidRPr="003A0BF1" w:rsidRDefault="002D1330" w:rsidP="00C123DF">
            <w:pPr>
              <w:contextualSpacing/>
              <w:jc w:val="center"/>
              <w:rPr>
                <w:rFonts w:ascii="Times New Roman"/>
                <w:b/>
                <w:sz w:val="12"/>
                <w:szCs w:val="12"/>
              </w:rPr>
            </w:pPr>
            <w:r w:rsidRPr="003A0BF1">
              <w:rPr>
                <w:rFonts w:ascii="Times New Roman" w:hint="eastAsia"/>
                <w:b/>
                <w:sz w:val="12"/>
                <w:szCs w:val="12"/>
              </w:rPr>
              <w:t>Combined Sites (Serum</w:t>
            </w:r>
            <w:r>
              <w:rPr>
                <w:rFonts w:ascii="Times New Roman" w:hint="eastAsia"/>
                <w:b/>
                <w:sz w:val="12"/>
                <w:szCs w:val="12"/>
              </w:rPr>
              <w:t xml:space="preserve"> </w:t>
            </w:r>
            <w:r w:rsidRPr="003A0BF1">
              <w:rPr>
                <w:rFonts w:ascii="Times New Roman" w:hint="eastAsia"/>
                <w:b/>
                <w:sz w:val="12"/>
                <w:szCs w:val="12"/>
              </w:rPr>
              <w:t>+</w:t>
            </w:r>
            <w:r>
              <w:rPr>
                <w:rFonts w:ascii="Times New Roman" w:hint="eastAsia"/>
                <w:b/>
                <w:sz w:val="12"/>
                <w:szCs w:val="12"/>
              </w:rPr>
              <w:t xml:space="preserve"> </w:t>
            </w:r>
            <w:r w:rsidRPr="003A0BF1">
              <w:rPr>
                <w:rFonts w:ascii="Times New Roman" w:hint="eastAsia"/>
                <w:b/>
                <w:sz w:val="12"/>
                <w:szCs w:val="12"/>
              </w:rPr>
              <w:t>Blood)</w:t>
            </w:r>
          </w:p>
        </w:tc>
        <w:tc>
          <w:tcPr>
            <w:tcW w:w="735" w:type="dxa"/>
            <w:vAlign w:val="center"/>
          </w:tcPr>
          <w:p w14:paraId="41AA59F2" w14:textId="77777777" w:rsidR="002D1330" w:rsidRDefault="002D1330" w:rsidP="00C123DF">
            <w:pPr>
              <w:jc w:val="center"/>
              <w:rPr>
                <w:rFonts w:ascii="Times New Roman"/>
                <w:color w:val="000000" w:themeColor="text1"/>
                <w:sz w:val="12"/>
                <w:szCs w:val="12"/>
              </w:rPr>
            </w:pPr>
            <w:r>
              <w:rPr>
                <w:rFonts w:ascii="Times New Roman" w:hint="eastAsia"/>
                <w:color w:val="000000" w:themeColor="text1"/>
                <w:sz w:val="12"/>
                <w:szCs w:val="12"/>
              </w:rPr>
              <w:t>105</w:t>
            </w:r>
          </w:p>
        </w:tc>
        <w:tc>
          <w:tcPr>
            <w:tcW w:w="872" w:type="dxa"/>
            <w:vAlign w:val="center"/>
          </w:tcPr>
          <w:p w14:paraId="3F497F7E" w14:textId="2850ADAA" w:rsidR="002D1330" w:rsidRDefault="002D1330" w:rsidP="00C123DF">
            <w:pPr>
              <w:jc w:val="center"/>
              <w:rPr>
                <w:rFonts w:ascii="Times New Roman"/>
                <w:color w:val="000000" w:themeColor="text1"/>
                <w:sz w:val="12"/>
                <w:szCs w:val="12"/>
              </w:rPr>
            </w:pPr>
            <w:r>
              <w:rPr>
                <w:rFonts w:ascii="Times New Roman" w:hint="eastAsia"/>
                <w:color w:val="000000" w:themeColor="text1"/>
                <w:sz w:val="12"/>
                <w:szCs w:val="12"/>
              </w:rPr>
              <w:t>103</w:t>
            </w:r>
          </w:p>
        </w:tc>
        <w:tc>
          <w:tcPr>
            <w:tcW w:w="738" w:type="dxa"/>
            <w:vAlign w:val="center"/>
          </w:tcPr>
          <w:p w14:paraId="01ACD1CE" w14:textId="41903F69" w:rsidR="002D1330" w:rsidRDefault="002D1330" w:rsidP="00C123DF">
            <w:pPr>
              <w:jc w:val="center"/>
              <w:rPr>
                <w:rFonts w:ascii="Times New Roman"/>
                <w:color w:val="000000" w:themeColor="text1"/>
                <w:sz w:val="12"/>
                <w:szCs w:val="12"/>
              </w:rPr>
            </w:pPr>
            <w:r>
              <w:rPr>
                <w:rFonts w:ascii="Times New Roman" w:hint="eastAsia"/>
                <w:color w:val="000000" w:themeColor="text1"/>
                <w:sz w:val="12"/>
                <w:szCs w:val="12"/>
              </w:rPr>
              <w:t>98.1%</w:t>
            </w:r>
          </w:p>
        </w:tc>
        <w:tc>
          <w:tcPr>
            <w:tcW w:w="869" w:type="dxa"/>
            <w:vAlign w:val="center"/>
          </w:tcPr>
          <w:p w14:paraId="5DF974D2" w14:textId="3B1BA46C" w:rsidR="002D1330" w:rsidRPr="00E04E77" w:rsidRDefault="002D1330" w:rsidP="00C123DF">
            <w:pPr>
              <w:jc w:val="center"/>
              <w:rPr>
                <w:rFonts w:ascii="Times New Roman"/>
                <w:sz w:val="12"/>
                <w:szCs w:val="12"/>
              </w:rPr>
            </w:pPr>
            <w:r>
              <w:rPr>
                <w:rFonts w:ascii="Times New Roman" w:hint="eastAsia"/>
                <w:sz w:val="12"/>
                <w:szCs w:val="12"/>
              </w:rPr>
              <w:t>93.3%-99.5%</w:t>
            </w:r>
          </w:p>
        </w:tc>
      </w:tr>
    </w:tbl>
    <w:p w14:paraId="4C87D1AB" w14:textId="77777777" w:rsidR="00D5234C" w:rsidRPr="00FD415B" w:rsidRDefault="00D5234C">
      <w:pPr>
        <w:rPr>
          <w:rFonts w:ascii="Times New Roman"/>
          <w:b/>
          <w:color w:val="000000" w:themeColor="text1"/>
          <w:sz w:val="12"/>
          <w:szCs w:val="12"/>
        </w:rPr>
      </w:pPr>
    </w:p>
    <w:p w14:paraId="588B71B0" w14:textId="77777777" w:rsidR="00C96A6E" w:rsidRDefault="00C96A6E" w:rsidP="00C96A6E">
      <w:pPr>
        <w:overflowPunct w:val="0"/>
        <w:autoSpaceDE w:val="0"/>
        <w:autoSpaceDN w:val="0"/>
        <w:adjustRightInd w:val="0"/>
        <w:spacing w:line="140" w:lineRule="exact"/>
        <w:textAlignment w:val="baseline"/>
        <w:rPr>
          <w:rFonts w:ascii="Times New Roman" w:eastAsia="SimSun"/>
          <w:b/>
          <w:sz w:val="12"/>
          <w:szCs w:val="12"/>
        </w:rPr>
      </w:pPr>
      <w:r w:rsidRPr="00C96A6E">
        <w:rPr>
          <w:rFonts w:ascii="Times New Roman" w:eastAsia="SimSun" w:hint="eastAsia"/>
          <w:b/>
          <w:sz w:val="12"/>
          <w:szCs w:val="12"/>
        </w:rPr>
        <w:t xml:space="preserve">Study II: Independent Clinical Agreement Validation </w:t>
      </w:r>
    </w:p>
    <w:p w14:paraId="3CD4CC12" w14:textId="78B3E2DA" w:rsidR="00C96A6E" w:rsidRPr="00C96A6E" w:rsidRDefault="00C96A6E" w:rsidP="00C96A6E">
      <w:pPr>
        <w:overflowPunct w:val="0"/>
        <w:autoSpaceDE w:val="0"/>
        <w:autoSpaceDN w:val="0"/>
        <w:adjustRightInd w:val="0"/>
        <w:spacing w:line="140" w:lineRule="exact"/>
        <w:textAlignment w:val="baseline"/>
        <w:rPr>
          <w:rFonts w:ascii="Times New Roman" w:eastAsia="SimSun"/>
          <w:sz w:val="12"/>
          <w:szCs w:val="12"/>
        </w:rPr>
      </w:pPr>
      <w:bookmarkStart w:id="3" w:name="_Hlk43731403"/>
      <w:r w:rsidRPr="00C96A6E">
        <w:rPr>
          <w:rFonts w:ascii="Times New Roman" w:eastAsia="SimSun"/>
          <w:sz w:val="12"/>
          <w:szCs w:val="12"/>
        </w:rPr>
        <w:t xml:space="preserve">The COVID-19 </w:t>
      </w:r>
      <w:bookmarkEnd w:id="3"/>
      <w:r w:rsidRPr="00C96A6E">
        <w:rPr>
          <w:rFonts w:ascii="Times New Roman" w:eastAsia="SimSun"/>
          <w:sz w:val="12"/>
          <w:szCs w:val="12"/>
        </w:rPr>
        <w:t xml:space="preserve">IgG/IgM Rapid Test Device from Assure Tech. (Hangzhou) Co., Ltd. was tested on 2020-06-15 at the Frederick National Laboratory for Cancer Research (FNLCR) sponsored by the National Cancer Institute (NCI). The test was validated against a panel of previously frozen samples consisting of 30 SARS-CoV-2 antibody-positive serum samples and 80 antibody-negative serum and plasma samples. Each of the 30 antibody-positive samples </w:t>
      </w:r>
      <w:r>
        <w:rPr>
          <w:rFonts w:ascii="Times New Roman" w:eastAsia="SimSun" w:hint="eastAsia"/>
          <w:sz w:val="12"/>
          <w:szCs w:val="12"/>
        </w:rPr>
        <w:t>was</w:t>
      </w:r>
      <w:r w:rsidRPr="00C96A6E">
        <w:rPr>
          <w:rFonts w:ascii="Times New Roman" w:eastAsia="SimSun"/>
          <w:sz w:val="12"/>
          <w:szCs w:val="12"/>
        </w:rPr>
        <w:t xml:space="preserve"> confirmed with a nucleic acid amplification test (NAAT) and both IgM and IgG antibodies were confirmed to be present in all 30 samples. The presence of antibodies in the samples was confirmed by several orthogonal methods prior to testing with the </w:t>
      </w:r>
      <w:r>
        <w:rPr>
          <w:rFonts w:ascii="Times New Roman" w:eastAsia="SimSun" w:hint="eastAsia"/>
          <w:sz w:val="12"/>
          <w:szCs w:val="12"/>
        </w:rPr>
        <w:t xml:space="preserve">Assure </w:t>
      </w:r>
      <w:r w:rsidRPr="00C96A6E">
        <w:rPr>
          <w:rFonts w:ascii="Times New Roman" w:eastAsia="SimSun"/>
          <w:sz w:val="12"/>
          <w:szCs w:val="12"/>
        </w:rPr>
        <w:t>COVID-19 IgG/IgM Rapid Test Device. The presence of IgM and IgG antibodies specifically was confirmed by one or more comparator methods. Antibody-positive samples were selected at different antibody titer</w:t>
      </w:r>
      <w:r w:rsidR="00FC3A4D">
        <w:rPr>
          <w:rFonts w:ascii="Times New Roman" w:eastAsia="SimSun"/>
          <w:sz w:val="12"/>
          <w:szCs w:val="12"/>
        </w:rPr>
        <w:t xml:space="preserve">s. </w:t>
      </w:r>
    </w:p>
    <w:p w14:paraId="510299DB" w14:textId="6F6E76F0" w:rsidR="00C96A6E" w:rsidRPr="00C96A6E" w:rsidRDefault="00C96A6E" w:rsidP="00C96A6E">
      <w:pPr>
        <w:overflowPunct w:val="0"/>
        <w:autoSpaceDE w:val="0"/>
        <w:autoSpaceDN w:val="0"/>
        <w:adjustRightInd w:val="0"/>
        <w:spacing w:line="140" w:lineRule="exact"/>
        <w:textAlignment w:val="baseline"/>
        <w:rPr>
          <w:rFonts w:ascii="Times New Roman" w:eastAsia="SimSun"/>
          <w:sz w:val="12"/>
          <w:szCs w:val="12"/>
        </w:rPr>
      </w:pPr>
      <w:r w:rsidRPr="00C96A6E">
        <w:rPr>
          <w:rFonts w:ascii="Times New Roman" w:eastAsia="SimSun"/>
          <w:sz w:val="12"/>
          <w:szCs w:val="12"/>
        </w:rPr>
        <w:t xml:space="preserve">All antibody-negative samples were collected prior to 2020 and include: i) Seventy (70) samples selected without regard to clinical status, “Negatives” and ii) Ten (10) samples selected from banked serum from HIV+ patients, “HIV+”. Testing was performed by one operator using one lot of the </w:t>
      </w:r>
      <w:r>
        <w:rPr>
          <w:rFonts w:ascii="Times New Roman" w:eastAsia="SimSun" w:hint="eastAsia"/>
          <w:sz w:val="12"/>
          <w:szCs w:val="12"/>
        </w:rPr>
        <w:t xml:space="preserve">Assure </w:t>
      </w:r>
      <w:r w:rsidRPr="00C96A6E">
        <w:rPr>
          <w:rFonts w:ascii="Times New Roman" w:eastAsia="SimSun"/>
          <w:sz w:val="12"/>
          <w:szCs w:val="12"/>
        </w:rPr>
        <w:t>COVID-19 IgG/IgM Rapid Test Device. Confidence intervals for sensitivity and specificity were calculated per a score method des</w:t>
      </w:r>
      <w:r w:rsidR="00FC3A4D">
        <w:rPr>
          <w:rFonts w:ascii="Times New Roman" w:eastAsia="SimSun"/>
          <w:sz w:val="12"/>
          <w:szCs w:val="12"/>
        </w:rPr>
        <w:t xml:space="preserve">cribed in CLSI EP12-A2 (2008). </w:t>
      </w:r>
    </w:p>
    <w:p w14:paraId="7E190D92" w14:textId="5E1B9995" w:rsidR="00B033FC" w:rsidRPr="00DE22BB" w:rsidRDefault="00C96A6E" w:rsidP="00FC3A4D">
      <w:pPr>
        <w:overflowPunct w:val="0"/>
        <w:autoSpaceDE w:val="0"/>
        <w:autoSpaceDN w:val="0"/>
        <w:adjustRightInd w:val="0"/>
        <w:spacing w:line="140" w:lineRule="exact"/>
        <w:textAlignment w:val="baseline"/>
        <w:rPr>
          <w:rFonts w:ascii="Times New Roman" w:eastAsia="SimSun"/>
          <w:b/>
          <w:sz w:val="12"/>
          <w:szCs w:val="12"/>
        </w:rPr>
      </w:pPr>
      <w:r w:rsidRPr="00C96A6E">
        <w:rPr>
          <w:rFonts w:ascii="Times New Roman" w:eastAsia="SimSun"/>
          <w:sz w:val="12"/>
          <w:szCs w:val="12"/>
        </w:rPr>
        <w:t xml:space="preserve">For evaluation of cross-reactivity with HIV+, it was evaluated whether an increased false positive rate among antibody-negative samples with HIV was statistically higher than the false positive rate among </w:t>
      </w:r>
      <w:r w:rsidRPr="00C96A6E">
        <w:rPr>
          <w:rFonts w:ascii="Times New Roman" w:eastAsia="SimSun"/>
          <w:sz w:val="12"/>
          <w:szCs w:val="12"/>
        </w:rPr>
        <w:lastRenderedPageBreak/>
        <w:t xml:space="preserve">antibody-negative samples without HIV (for this, a confidence interval for the difference in false positive rates was calculated per a score method described by Altman). The results and data analysis are shown in the Tables </w:t>
      </w:r>
      <w:r w:rsidR="00DE22BB">
        <w:rPr>
          <w:rFonts w:ascii="Times New Roman" w:eastAsia="SimSun"/>
          <w:sz w:val="12"/>
          <w:szCs w:val="12"/>
        </w:rPr>
        <w:t>5</w:t>
      </w:r>
      <w:r w:rsidRPr="00C96A6E">
        <w:rPr>
          <w:rFonts w:ascii="Times New Roman" w:eastAsia="SimSun"/>
          <w:sz w:val="12"/>
          <w:szCs w:val="12"/>
        </w:rPr>
        <w:t xml:space="preserve"> and </w:t>
      </w:r>
      <w:r w:rsidR="00DE22BB">
        <w:rPr>
          <w:rFonts w:ascii="Times New Roman" w:eastAsia="SimSun"/>
          <w:sz w:val="12"/>
          <w:szCs w:val="12"/>
        </w:rPr>
        <w:t>6</w:t>
      </w:r>
      <w:r w:rsidRPr="00C96A6E">
        <w:rPr>
          <w:rFonts w:ascii="Times New Roman" w:eastAsia="SimSun"/>
          <w:sz w:val="12"/>
          <w:szCs w:val="12"/>
        </w:rPr>
        <w:t xml:space="preserve"> below.</w:t>
      </w:r>
    </w:p>
    <w:p w14:paraId="0DBF8B6B" w14:textId="77777777" w:rsidR="00DE47B3" w:rsidRPr="00DE22BB" w:rsidRDefault="00DE47B3" w:rsidP="00FC3A4D">
      <w:pPr>
        <w:overflowPunct w:val="0"/>
        <w:autoSpaceDE w:val="0"/>
        <w:autoSpaceDN w:val="0"/>
        <w:adjustRightInd w:val="0"/>
        <w:spacing w:line="140" w:lineRule="exact"/>
        <w:textAlignment w:val="baseline"/>
        <w:rPr>
          <w:rFonts w:ascii="Times New Roman" w:eastAsia="SimSun"/>
          <w:b/>
          <w:sz w:val="12"/>
          <w:szCs w:val="12"/>
        </w:rPr>
      </w:pPr>
    </w:p>
    <w:p w14:paraId="25B18658" w14:textId="21C2BC25" w:rsidR="00DE47B3" w:rsidRPr="00DE22BB" w:rsidRDefault="00945A7F" w:rsidP="00DE47B3">
      <w:pPr>
        <w:overflowPunct w:val="0"/>
        <w:autoSpaceDE w:val="0"/>
        <w:autoSpaceDN w:val="0"/>
        <w:adjustRightInd w:val="0"/>
        <w:spacing w:line="140" w:lineRule="exact"/>
        <w:jc w:val="center"/>
        <w:textAlignment w:val="baseline"/>
        <w:rPr>
          <w:rFonts w:ascii="Times New Roman" w:eastAsia="SimSun"/>
          <w:b/>
          <w:sz w:val="12"/>
          <w:szCs w:val="12"/>
        </w:rPr>
      </w:pPr>
      <w:r w:rsidRPr="005646E1">
        <w:rPr>
          <w:rFonts w:ascii="Times New Roman" w:eastAsia="SimSun" w:hint="eastAsia"/>
          <w:b/>
          <w:sz w:val="12"/>
          <w:szCs w:val="12"/>
        </w:rPr>
        <w:t xml:space="preserve">Table </w:t>
      </w:r>
      <w:r w:rsidR="00DE22BB" w:rsidRPr="005646E1">
        <w:rPr>
          <w:rFonts w:ascii="Times New Roman" w:eastAsia="SimSun"/>
          <w:b/>
          <w:sz w:val="12"/>
          <w:szCs w:val="12"/>
        </w:rPr>
        <w:t>5</w:t>
      </w:r>
      <w:r w:rsidRPr="005646E1">
        <w:rPr>
          <w:rFonts w:ascii="Times New Roman" w:eastAsia="SimSun" w:hint="eastAsia"/>
          <w:b/>
          <w:sz w:val="12"/>
          <w:szCs w:val="12"/>
        </w:rPr>
        <w:t>.</w:t>
      </w:r>
      <w:r w:rsidRPr="00DE22BB">
        <w:rPr>
          <w:rFonts w:ascii="Times New Roman" w:eastAsia="SimSun" w:hint="eastAsia"/>
          <w:b/>
          <w:sz w:val="12"/>
          <w:szCs w:val="12"/>
        </w:rPr>
        <w:t xml:space="preserve"> Summary Results</w:t>
      </w:r>
    </w:p>
    <w:tbl>
      <w:tblPr>
        <w:tblStyle w:val="TableGrid"/>
        <w:tblW w:w="0" w:type="auto"/>
        <w:tblInd w:w="108" w:type="dxa"/>
        <w:tblLook w:val="04A0" w:firstRow="1" w:lastRow="0" w:firstColumn="1" w:lastColumn="0" w:noHBand="0" w:noVBand="1"/>
      </w:tblPr>
      <w:tblGrid>
        <w:gridCol w:w="663"/>
        <w:gridCol w:w="807"/>
        <w:gridCol w:w="979"/>
        <w:gridCol w:w="1057"/>
        <w:gridCol w:w="746"/>
        <w:gridCol w:w="675"/>
      </w:tblGrid>
      <w:tr w:rsidR="00DE47B3" w14:paraId="2E43FD04" w14:textId="4439C993" w:rsidTr="00EA1CAE">
        <w:trPr>
          <w:trHeight w:val="115"/>
        </w:trPr>
        <w:tc>
          <w:tcPr>
            <w:tcW w:w="1470" w:type="dxa"/>
            <w:gridSpan w:val="2"/>
            <w:vMerge w:val="restart"/>
            <w:shd w:val="clear" w:color="auto" w:fill="BFBFBF" w:themeFill="background1" w:themeFillShade="BF"/>
          </w:tcPr>
          <w:p w14:paraId="3BBE5B18" w14:textId="3F741994"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b/>
                <w:sz w:val="12"/>
                <w:szCs w:val="12"/>
              </w:rPr>
            </w:pPr>
            <w:r>
              <w:rPr>
                <w:rFonts w:ascii="Times New Roman" w:eastAsia="SimSun" w:hint="eastAsia"/>
                <w:b/>
                <w:sz w:val="12"/>
                <w:szCs w:val="12"/>
              </w:rPr>
              <w:t>Assure COVID-19 IgG/IgM Rapid Test Device</w:t>
            </w:r>
          </w:p>
        </w:tc>
        <w:tc>
          <w:tcPr>
            <w:tcW w:w="2868" w:type="dxa"/>
            <w:gridSpan w:val="3"/>
            <w:shd w:val="clear" w:color="auto" w:fill="BFBFBF" w:themeFill="background1" w:themeFillShade="BF"/>
          </w:tcPr>
          <w:p w14:paraId="53062847" w14:textId="50632B2D" w:rsidR="00DE47B3" w:rsidRDefault="00DE47B3" w:rsidP="00DE47B3">
            <w:pPr>
              <w:overflowPunct w:val="0"/>
              <w:autoSpaceDE w:val="0"/>
              <w:autoSpaceDN w:val="0"/>
              <w:adjustRightInd w:val="0"/>
              <w:spacing w:line="140" w:lineRule="exact"/>
              <w:jc w:val="center"/>
              <w:textAlignment w:val="baseline"/>
              <w:rPr>
                <w:rFonts w:ascii="Times New Roman" w:eastAsia="SimSun"/>
                <w:b/>
                <w:sz w:val="12"/>
                <w:szCs w:val="12"/>
              </w:rPr>
            </w:pPr>
            <w:r>
              <w:rPr>
                <w:rFonts w:ascii="Times New Roman" w:eastAsia="SimSun"/>
                <w:b/>
                <w:sz w:val="12"/>
                <w:szCs w:val="12"/>
              </w:rPr>
              <w:t>C</w:t>
            </w:r>
            <w:r>
              <w:rPr>
                <w:rFonts w:ascii="Times New Roman" w:eastAsia="SimSun" w:hint="eastAsia"/>
                <w:b/>
                <w:sz w:val="12"/>
                <w:szCs w:val="12"/>
              </w:rPr>
              <w:t>omparator Method</w:t>
            </w:r>
          </w:p>
        </w:tc>
        <w:tc>
          <w:tcPr>
            <w:tcW w:w="702" w:type="dxa"/>
            <w:vMerge w:val="restart"/>
            <w:shd w:val="clear" w:color="auto" w:fill="BFBFBF" w:themeFill="background1" w:themeFillShade="BF"/>
            <w:vAlign w:val="center"/>
          </w:tcPr>
          <w:p w14:paraId="77F6E62A" w14:textId="6F8B4511" w:rsidR="00DE47B3" w:rsidRDefault="00DE47B3" w:rsidP="00DE47B3">
            <w:pPr>
              <w:overflowPunct w:val="0"/>
              <w:autoSpaceDE w:val="0"/>
              <w:autoSpaceDN w:val="0"/>
              <w:adjustRightInd w:val="0"/>
              <w:spacing w:line="140" w:lineRule="exact"/>
              <w:jc w:val="center"/>
              <w:textAlignment w:val="baseline"/>
              <w:rPr>
                <w:rFonts w:ascii="Times New Roman" w:eastAsia="SimSun"/>
                <w:b/>
                <w:sz w:val="12"/>
                <w:szCs w:val="12"/>
              </w:rPr>
            </w:pPr>
            <w:r>
              <w:rPr>
                <w:rFonts w:ascii="Times New Roman" w:eastAsia="SimSun"/>
                <w:b/>
                <w:sz w:val="12"/>
                <w:szCs w:val="12"/>
              </w:rPr>
              <w:t>T</w:t>
            </w:r>
            <w:r>
              <w:rPr>
                <w:rFonts w:ascii="Times New Roman" w:eastAsia="SimSun" w:hint="eastAsia"/>
                <w:b/>
                <w:sz w:val="12"/>
                <w:szCs w:val="12"/>
              </w:rPr>
              <w:t>otal</w:t>
            </w:r>
          </w:p>
        </w:tc>
      </w:tr>
      <w:tr w:rsidR="00DE47B3" w14:paraId="3A7CA61A" w14:textId="77777777" w:rsidTr="00EA1CAE">
        <w:trPr>
          <w:trHeight w:val="192"/>
        </w:trPr>
        <w:tc>
          <w:tcPr>
            <w:tcW w:w="1470" w:type="dxa"/>
            <w:gridSpan w:val="2"/>
            <w:vMerge/>
            <w:shd w:val="clear" w:color="auto" w:fill="BFBFBF" w:themeFill="background1" w:themeFillShade="BF"/>
          </w:tcPr>
          <w:p w14:paraId="3A3F0041" w14:textId="77777777"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p>
        </w:tc>
        <w:tc>
          <w:tcPr>
            <w:tcW w:w="1012" w:type="dxa"/>
            <w:shd w:val="clear" w:color="auto" w:fill="D9D9D9" w:themeFill="background1" w:themeFillShade="D9"/>
          </w:tcPr>
          <w:p w14:paraId="6B627349" w14:textId="77777777" w:rsidR="00DE47B3" w:rsidRDefault="00DE47B3" w:rsidP="00DE47B3">
            <w:pPr>
              <w:overflowPunct w:val="0"/>
              <w:autoSpaceDE w:val="0"/>
              <w:autoSpaceDN w:val="0"/>
              <w:adjustRightInd w:val="0"/>
              <w:spacing w:line="140" w:lineRule="exact"/>
              <w:jc w:val="center"/>
              <w:textAlignment w:val="baseline"/>
              <w:rPr>
                <w:rFonts w:ascii="Times New Roman" w:eastAsia="SimSun"/>
                <w:b/>
                <w:sz w:val="12"/>
                <w:szCs w:val="12"/>
              </w:rPr>
            </w:pPr>
            <w:r>
              <w:rPr>
                <w:rFonts w:ascii="Times New Roman" w:eastAsia="SimSun" w:hint="eastAsia"/>
                <w:b/>
                <w:sz w:val="12"/>
                <w:szCs w:val="12"/>
              </w:rPr>
              <w:t>Positive</w:t>
            </w:r>
          </w:p>
          <w:p w14:paraId="1DF99A1D" w14:textId="3AED9E52" w:rsidR="00DE47B3" w:rsidRDefault="00DE47B3" w:rsidP="00DE47B3">
            <w:pPr>
              <w:overflowPunct w:val="0"/>
              <w:autoSpaceDE w:val="0"/>
              <w:autoSpaceDN w:val="0"/>
              <w:adjustRightInd w:val="0"/>
              <w:spacing w:line="140" w:lineRule="exact"/>
              <w:jc w:val="center"/>
              <w:textAlignment w:val="baseline"/>
              <w:rPr>
                <w:rFonts w:ascii="Times New Roman" w:eastAsia="SimSun"/>
                <w:b/>
                <w:sz w:val="12"/>
                <w:szCs w:val="12"/>
              </w:rPr>
            </w:pPr>
            <w:r>
              <w:rPr>
                <w:rFonts w:ascii="Times New Roman" w:eastAsia="SimSun" w:hint="eastAsia"/>
                <w:b/>
                <w:sz w:val="12"/>
                <w:szCs w:val="12"/>
              </w:rPr>
              <w:t>(IgM/IgG) +</w:t>
            </w:r>
          </w:p>
        </w:tc>
        <w:tc>
          <w:tcPr>
            <w:tcW w:w="1102" w:type="dxa"/>
            <w:shd w:val="clear" w:color="auto" w:fill="D9D9D9" w:themeFill="background1" w:themeFillShade="D9"/>
          </w:tcPr>
          <w:p w14:paraId="0B9A1A43" w14:textId="567AF265" w:rsidR="00DE47B3" w:rsidRDefault="00DE47B3" w:rsidP="00DE47B3">
            <w:pPr>
              <w:overflowPunct w:val="0"/>
              <w:autoSpaceDE w:val="0"/>
              <w:autoSpaceDN w:val="0"/>
              <w:adjustRightInd w:val="0"/>
              <w:spacing w:line="140" w:lineRule="exact"/>
              <w:jc w:val="center"/>
              <w:textAlignment w:val="baseline"/>
              <w:rPr>
                <w:rFonts w:ascii="Times New Roman" w:eastAsia="SimSun"/>
                <w:b/>
                <w:sz w:val="12"/>
                <w:szCs w:val="12"/>
              </w:rPr>
            </w:pPr>
            <w:r>
              <w:rPr>
                <w:rFonts w:ascii="Times New Roman" w:eastAsia="SimSun" w:hint="eastAsia"/>
                <w:b/>
                <w:sz w:val="12"/>
                <w:szCs w:val="12"/>
              </w:rPr>
              <w:t>Negative (IgM/IgG) -</w:t>
            </w:r>
          </w:p>
        </w:tc>
        <w:tc>
          <w:tcPr>
            <w:tcW w:w="754" w:type="dxa"/>
            <w:shd w:val="clear" w:color="auto" w:fill="D9D9D9" w:themeFill="background1" w:themeFillShade="D9"/>
            <w:vAlign w:val="center"/>
          </w:tcPr>
          <w:p w14:paraId="31EE3A02" w14:textId="3D95F80A" w:rsidR="00DE47B3" w:rsidRDefault="00DE47B3" w:rsidP="00DE47B3">
            <w:pPr>
              <w:overflowPunct w:val="0"/>
              <w:autoSpaceDE w:val="0"/>
              <w:autoSpaceDN w:val="0"/>
              <w:adjustRightInd w:val="0"/>
              <w:spacing w:line="140" w:lineRule="exact"/>
              <w:jc w:val="center"/>
              <w:textAlignment w:val="baseline"/>
              <w:rPr>
                <w:rFonts w:ascii="Times New Roman" w:eastAsia="SimSun"/>
                <w:b/>
                <w:sz w:val="12"/>
                <w:szCs w:val="12"/>
              </w:rPr>
            </w:pPr>
            <w:r>
              <w:rPr>
                <w:rFonts w:ascii="Times New Roman" w:eastAsia="SimSun" w:hint="eastAsia"/>
                <w:b/>
                <w:sz w:val="12"/>
                <w:szCs w:val="12"/>
              </w:rPr>
              <w:t>Negative, HIV+</w:t>
            </w:r>
          </w:p>
        </w:tc>
        <w:tc>
          <w:tcPr>
            <w:tcW w:w="702" w:type="dxa"/>
            <w:vMerge/>
            <w:shd w:val="clear" w:color="auto" w:fill="A6A6A6" w:themeFill="background1" w:themeFillShade="A6"/>
          </w:tcPr>
          <w:p w14:paraId="1B342503" w14:textId="77777777"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p>
        </w:tc>
      </w:tr>
      <w:tr w:rsidR="00DE47B3" w14:paraId="17F82C94" w14:textId="55E8CA53" w:rsidTr="00EA1CAE">
        <w:tc>
          <w:tcPr>
            <w:tcW w:w="663" w:type="dxa"/>
            <w:vMerge w:val="restart"/>
            <w:shd w:val="clear" w:color="auto" w:fill="BFBFBF" w:themeFill="background1" w:themeFillShade="BF"/>
          </w:tcPr>
          <w:p w14:paraId="014E5866" w14:textId="13E1DA21"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r>
              <w:rPr>
                <w:rFonts w:ascii="Times New Roman" w:eastAsia="SimSun" w:hint="eastAsia"/>
                <w:b/>
                <w:sz w:val="12"/>
                <w:szCs w:val="12"/>
              </w:rPr>
              <w:t>Positive</w:t>
            </w:r>
          </w:p>
        </w:tc>
        <w:tc>
          <w:tcPr>
            <w:tcW w:w="807" w:type="dxa"/>
            <w:shd w:val="clear" w:color="auto" w:fill="D9D9D9" w:themeFill="background1" w:themeFillShade="D9"/>
          </w:tcPr>
          <w:p w14:paraId="35A201A5" w14:textId="07A7008A"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r>
              <w:rPr>
                <w:rFonts w:ascii="Times New Roman" w:eastAsia="SimSun" w:hint="eastAsia"/>
                <w:b/>
                <w:sz w:val="12"/>
                <w:szCs w:val="12"/>
              </w:rPr>
              <w:t>IgM+/IgG+</w:t>
            </w:r>
          </w:p>
        </w:tc>
        <w:tc>
          <w:tcPr>
            <w:tcW w:w="1012" w:type="dxa"/>
            <w:vAlign w:val="center"/>
          </w:tcPr>
          <w:p w14:paraId="2325E073" w14:textId="0B7F8E96"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sidRPr="00DE47B3">
              <w:rPr>
                <w:rFonts w:ascii="Times New Roman" w:eastAsia="SimSun" w:hint="eastAsia"/>
                <w:sz w:val="12"/>
                <w:szCs w:val="12"/>
              </w:rPr>
              <w:t>27</w:t>
            </w:r>
          </w:p>
        </w:tc>
        <w:tc>
          <w:tcPr>
            <w:tcW w:w="1102" w:type="dxa"/>
            <w:vAlign w:val="center"/>
          </w:tcPr>
          <w:p w14:paraId="7F2061FB" w14:textId="3B837D11"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0</w:t>
            </w:r>
          </w:p>
        </w:tc>
        <w:tc>
          <w:tcPr>
            <w:tcW w:w="754" w:type="dxa"/>
            <w:vAlign w:val="center"/>
          </w:tcPr>
          <w:p w14:paraId="185BE1F5" w14:textId="1A031666"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0</w:t>
            </w:r>
          </w:p>
        </w:tc>
        <w:tc>
          <w:tcPr>
            <w:tcW w:w="702" w:type="dxa"/>
            <w:vAlign w:val="center"/>
          </w:tcPr>
          <w:p w14:paraId="5EA6AFBC" w14:textId="71868C69"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27</w:t>
            </w:r>
          </w:p>
        </w:tc>
      </w:tr>
      <w:tr w:rsidR="00DE47B3" w14:paraId="5EFF560F" w14:textId="3BB0BA7B" w:rsidTr="00EA1CAE">
        <w:tc>
          <w:tcPr>
            <w:tcW w:w="663" w:type="dxa"/>
            <w:vMerge/>
            <w:shd w:val="clear" w:color="auto" w:fill="BFBFBF" w:themeFill="background1" w:themeFillShade="BF"/>
          </w:tcPr>
          <w:p w14:paraId="26D2E290" w14:textId="77777777"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p>
        </w:tc>
        <w:tc>
          <w:tcPr>
            <w:tcW w:w="807" w:type="dxa"/>
            <w:shd w:val="clear" w:color="auto" w:fill="D9D9D9" w:themeFill="background1" w:themeFillShade="D9"/>
          </w:tcPr>
          <w:p w14:paraId="034A7C04" w14:textId="74CA147E"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r>
              <w:rPr>
                <w:rFonts w:ascii="Times New Roman" w:eastAsia="SimSun" w:hint="eastAsia"/>
                <w:b/>
                <w:sz w:val="12"/>
                <w:szCs w:val="12"/>
              </w:rPr>
              <w:t>IgM+, IgG-</w:t>
            </w:r>
          </w:p>
        </w:tc>
        <w:tc>
          <w:tcPr>
            <w:tcW w:w="1012" w:type="dxa"/>
            <w:vAlign w:val="center"/>
          </w:tcPr>
          <w:p w14:paraId="5B8466CA" w14:textId="378DD820"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3</w:t>
            </w:r>
          </w:p>
        </w:tc>
        <w:tc>
          <w:tcPr>
            <w:tcW w:w="1102" w:type="dxa"/>
            <w:vAlign w:val="center"/>
          </w:tcPr>
          <w:p w14:paraId="01683C37" w14:textId="3E61BB02"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1</w:t>
            </w:r>
          </w:p>
        </w:tc>
        <w:tc>
          <w:tcPr>
            <w:tcW w:w="754" w:type="dxa"/>
            <w:vAlign w:val="center"/>
          </w:tcPr>
          <w:p w14:paraId="16DAB285" w14:textId="037F0A45"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0</w:t>
            </w:r>
          </w:p>
        </w:tc>
        <w:tc>
          <w:tcPr>
            <w:tcW w:w="702" w:type="dxa"/>
            <w:vAlign w:val="center"/>
          </w:tcPr>
          <w:p w14:paraId="05EECBD7" w14:textId="51C59580"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4</w:t>
            </w:r>
          </w:p>
        </w:tc>
      </w:tr>
      <w:tr w:rsidR="00DE47B3" w14:paraId="3DD027F2" w14:textId="350EB1B3" w:rsidTr="00EA1CAE">
        <w:tc>
          <w:tcPr>
            <w:tcW w:w="663" w:type="dxa"/>
            <w:vMerge/>
            <w:shd w:val="clear" w:color="auto" w:fill="BFBFBF" w:themeFill="background1" w:themeFillShade="BF"/>
          </w:tcPr>
          <w:p w14:paraId="04955635" w14:textId="77777777"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p>
        </w:tc>
        <w:tc>
          <w:tcPr>
            <w:tcW w:w="807" w:type="dxa"/>
            <w:shd w:val="clear" w:color="auto" w:fill="D9D9D9" w:themeFill="background1" w:themeFillShade="D9"/>
          </w:tcPr>
          <w:p w14:paraId="7018D577" w14:textId="6063BF3C"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r>
              <w:rPr>
                <w:rFonts w:ascii="Times New Roman" w:eastAsia="SimSun" w:hint="eastAsia"/>
                <w:b/>
                <w:sz w:val="12"/>
                <w:szCs w:val="12"/>
              </w:rPr>
              <w:t>IgM-, IgG+</w:t>
            </w:r>
          </w:p>
        </w:tc>
        <w:tc>
          <w:tcPr>
            <w:tcW w:w="1012" w:type="dxa"/>
            <w:vAlign w:val="center"/>
          </w:tcPr>
          <w:p w14:paraId="03C22880" w14:textId="57A90FFA"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0</w:t>
            </w:r>
          </w:p>
        </w:tc>
        <w:tc>
          <w:tcPr>
            <w:tcW w:w="1102" w:type="dxa"/>
            <w:vAlign w:val="center"/>
          </w:tcPr>
          <w:p w14:paraId="4A986A20" w14:textId="465020A8"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0</w:t>
            </w:r>
          </w:p>
        </w:tc>
        <w:tc>
          <w:tcPr>
            <w:tcW w:w="754" w:type="dxa"/>
            <w:vAlign w:val="center"/>
          </w:tcPr>
          <w:p w14:paraId="542C2D3C" w14:textId="3BB9A9EC"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0</w:t>
            </w:r>
          </w:p>
        </w:tc>
        <w:tc>
          <w:tcPr>
            <w:tcW w:w="702" w:type="dxa"/>
            <w:vAlign w:val="center"/>
          </w:tcPr>
          <w:p w14:paraId="0FC3FB85" w14:textId="240524FF"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0</w:t>
            </w:r>
          </w:p>
        </w:tc>
      </w:tr>
      <w:tr w:rsidR="006D1FB6" w14:paraId="43407673" w14:textId="6C94C879" w:rsidTr="00EA1CAE">
        <w:tc>
          <w:tcPr>
            <w:tcW w:w="663" w:type="dxa"/>
            <w:shd w:val="clear" w:color="auto" w:fill="BFBFBF" w:themeFill="background1" w:themeFillShade="BF"/>
          </w:tcPr>
          <w:p w14:paraId="75993DE3" w14:textId="08607CD5"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r>
              <w:rPr>
                <w:rFonts w:ascii="Times New Roman" w:eastAsia="SimSun" w:hint="eastAsia"/>
                <w:b/>
                <w:sz w:val="12"/>
                <w:szCs w:val="12"/>
              </w:rPr>
              <w:t>Negative</w:t>
            </w:r>
          </w:p>
        </w:tc>
        <w:tc>
          <w:tcPr>
            <w:tcW w:w="807" w:type="dxa"/>
            <w:shd w:val="clear" w:color="auto" w:fill="D9D9D9" w:themeFill="background1" w:themeFillShade="D9"/>
          </w:tcPr>
          <w:p w14:paraId="12E8188A" w14:textId="7B1603B5"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r>
              <w:rPr>
                <w:rFonts w:ascii="Times New Roman" w:eastAsia="SimSun" w:hint="eastAsia"/>
                <w:b/>
                <w:sz w:val="12"/>
                <w:szCs w:val="12"/>
              </w:rPr>
              <w:t>IgM-/IgG-</w:t>
            </w:r>
          </w:p>
        </w:tc>
        <w:tc>
          <w:tcPr>
            <w:tcW w:w="1012" w:type="dxa"/>
            <w:vAlign w:val="center"/>
          </w:tcPr>
          <w:p w14:paraId="6D022F56" w14:textId="0BD6C72F"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0</w:t>
            </w:r>
          </w:p>
        </w:tc>
        <w:tc>
          <w:tcPr>
            <w:tcW w:w="1102" w:type="dxa"/>
            <w:vAlign w:val="center"/>
          </w:tcPr>
          <w:p w14:paraId="07DEE1D8" w14:textId="5785C08A"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69</w:t>
            </w:r>
          </w:p>
        </w:tc>
        <w:tc>
          <w:tcPr>
            <w:tcW w:w="754" w:type="dxa"/>
            <w:vAlign w:val="center"/>
          </w:tcPr>
          <w:p w14:paraId="0C8AC8A7" w14:textId="2E142AD7"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10</w:t>
            </w:r>
          </w:p>
        </w:tc>
        <w:tc>
          <w:tcPr>
            <w:tcW w:w="702" w:type="dxa"/>
            <w:vAlign w:val="center"/>
          </w:tcPr>
          <w:p w14:paraId="22DBBBC6" w14:textId="7C5C3F85"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79</w:t>
            </w:r>
          </w:p>
        </w:tc>
      </w:tr>
      <w:tr w:rsidR="00DE47B3" w14:paraId="510B17B7" w14:textId="62BF7178" w:rsidTr="00EA1CAE">
        <w:tc>
          <w:tcPr>
            <w:tcW w:w="1470" w:type="dxa"/>
            <w:gridSpan w:val="2"/>
            <w:shd w:val="clear" w:color="auto" w:fill="BFBFBF" w:themeFill="background1" w:themeFillShade="BF"/>
          </w:tcPr>
          <w:p w14:paraId="5AFC054B" w14:textId="10A0A23A" w:rsidR="00DE47B3" w:rsidRDefault="00DE47B3" w:rsidP="00FC3A4D">
            <w:pPr>
              <w:overflowPunct w:val="0"/>
              <w:autoSpaceDE w:val="0"/>
              <w:autoSpaceDN w:val="0"/>
              <w:adjustRightInd w:val="0"/>
              <w:spacing w:line="140" w:lineRule="exact"/>
              <w:textAlignment w:val="baseline"/>
              <w:rPr>
                <w:rFonts w:ascii="Times New Roman" w:eastAsia="SimSun"/>
                <w:b/>
                <w:sz w:val="12"/>
                <w:szCs w:val="12"/>
              </w:rPr>
            </w:pPr>
            <w:r>
              <w:rPr>
                <w:rFonts w:ascii="Times New Roman" w:eastAsia="SimSun" w:hint="eastAsia"/>
                <w:b/>
                <w:sz w:val="12"/>
                <w:szCs w:val="12"/>
              </w:rPr>
              <w:t>Total (n=110)</w:t>
            </w:r>
          </w:p>
        </w:tc>
        <w:tc>
          <w:tcPr>
            <w:tcW w:w="1012" w:type="dxa"/>
            <w:vAlign w:val="center"/>
          </w:tcPr>
          <w:p w14:paraId="1163F547" w14:textId="36EC626D"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30</w:t>
            </w:r>
          </w:p>
        </w:tc>
        <w:tc>
          <w:tcPr>
            <w:tcW w:w="1102" w:type="dxa"/>
            <w:vAlign w:val="center"/>
          </w:tcPr>
          <w:p w14:paraId="42C54EE7" w14:textId="27FFC3B1"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70</w:t>
            </w:r>
          </w:p>
        </w:tc>
        <w:tc>
          <w:tcPr>
            <w:tcW w:w="754" w:type="dxa"/>
            <w:vAlign w:val="center"/>
          </w:tcPr>
          <w:p w14:paraId="2670D0E8" w14:textId="0E38A744"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10</w:t>
            </w:r>
          </w:p>
        </w:tc>
        <w:tc>
          <w:tcPr>
            <w:tcW w:w="702" w:type="dxa"/>
            <w:vAlign w:val="center"/>
          </w:tcPr>
          <w:p w14:paraId="657100ED" w14:textId="37BF3FD0" w:rsidR="00DE47B3" w:rsidRPr="00DE47B3" w:rsidRDefault="00DE47B3" w:rsidP="00DE47B3">
            <w:pPr>
              <w:overflowPunct w:val="0"/>
              <w:autoSpaceDE w:val="0"/>
              <w:autoSpaceDN w:val="0"/>
              <w:adjustRightInd w:val="0"/>
              <w:spacing w:line="140" w:lineRule="exact"/>
              <w:jc w:val="center"/>
              <w:textAlignment w:val="baseline"/>
              <w:rPr>
                <w:rFonts w:ascii="Times New Roman" w:eastAsia="SimSun"/>
                <w:sz w:val="12"/>
                <w:szCs w:val="12"/>
              </w:rPr>
            </w:pPr>
            <w:r>
              <w:rPr>
                <w:rFonts w:ascii="Times New Roman" w:eastAsia="SimSun" w:hint="eastAsia"/>
                <w:sz w:val="12"/>
                <w:szCs w:val="12"/>
              </w:rPr>
              <w:t>110</w:t>
            </w:r>
          </w:p>
        </w:tc>
      </w:tr>
    </w:tbl>
    <w:p w14:paraId="1C052032" w14:textId="77777777" w:rsidR="00945A7F" w:rsidRPr="00DE22BB" w:rsidRDefault="00945A7F" w:rsidP="00FC3A4D">
      <w:pPr>
        <w:overflowPunct w:val="0"/>
        <w:autoSpaceDE w:val="0"/>
        <w:autoSpaceDN w:val="0"/>
        <w:adjustRightInd w:val="0"/>
        <w:spacing w:line="140" w:lineRule="exact"/>
        <w:textAlignment w:val="baseline"/>
        <w:rPr>
          <w:rFonts w:ascii="Times New Roman" w:eastAsia="SimSun"/>
          <w:b/>
          <w:sz w:val="12"/>
          <w:szCs w:val="12"/>
        </w:rPr>
      </w:pPr>
    </w:p>
    <w:p w14:paraId="0BB0EF51" w14:textId="19C05BD9" w:rsidR="00945A7F" w:rsidRPr="00DE22BB"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5646E1">
        <w:rPr>
          <w:rFonts w:ascii="Times New Roman" w:eastAsia="SimSun" w:hint="eastAsia"/>
          <w:b/>
          <w:sz w:val="12"/>
          <w:szCs w:val="12"/>
        </w:rPr>
        <w:t xml:space="preserve">Table </w:t>
      </w:r>
      <w:r w:rsidR="00DE22BB" w:rsidRPr="005646E1">
        <w:rPr>
          <w:rFonts w:ascii="Times New Roman" w:eastAsia="SimSun"/>
          <w:b/>
          <w:sz w:val="12"/>
          <w:szCs w:val="12"/>
        </w:rPr>
        <w:t>6</w:t>
      </w:r>
      <w:r w:rsidRPr="005646E1">
        <w:rPr>
          <w:rFonts w:ascii="Times New Roman" w:eastAsia="SimSun" w:hint="eastAsia"/>
          <w:b/>
          <w:sz w:val="12"/>
          <w:szCs w:val="12"/>
        </w:rPr>
        <w:t>.</w:t>
      </w:r>
      <w:r w:rsidRPr="00DE22BB">
        <w:rPr>
          <w:rFonts w:ascii="Times New Roman" w:eastAsia="SimSun" w:hint="eastAsia"/>
          <w:b/>
          <w:sz w:val="12"/>
          <w:szCs w:val="12"/>
        </w:rPr>
        <w:t xml:space="preserve"> Summary Statistics</w:t>
      </w:r>
    </w:p>
    <w:tbl>
      <w:tblPr>
        <w:tblStyle w:val="TableGrid"/>
        <w:tblW w:w="0" w:type="auto"/>
        <w:jc w:val="center"/>
        <w:tblLook w:val="04A0" w:firstRow="1" w:lastRow="0" w:firstColumn="1" w:lastColumn="0" w:noHBand="0" w:noVBand="1"/>
      </w:tblPr>
      <w:tblGrid>
        <w:gridCol w:w="1978"/>
        <w:gridCol w:w="1469"/>
        <w:gridCol w:w="1588"/>
      </w:tblGrid>
      <w:tr w:rsidR="00945A7F" w14:paraId="573093C5" w14:textId="77777777" w:rsidTr="009502BE">
        <w:trPr>
          <w:trHeight w:val="260"/>
          <w:jc w:val="center"/>
        </w:trPr>
        <w:tc>
          <w:tcPr>
            <w:tcW w:w="2013" w:type="dxa"/>
            <w:shd w:val="clear" w:color="auto" w:fill="BFBFBF" w:themeFill="background1" w:themeFillShade="BF"/>
            <w:vAlign w:val="center"/>
          </w:tcPr>
          <w:p w14:paraId="0E71EE12" w14:textId="2B677F6D"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b/>
                <w:color w:val="000000"/>
                <w:sz w:val="12"/>
                <w:szCs w:val="12"/>
              </w:rPr>
              <w:t>Measure</w:t>
            </w:r>
          </w:p>
        </w:tc>
        <w:tc>
          <w:tcPr>
            <w:tcW w:w="1487" w:type="dxa"/>
            <w:shd w:val="clear" w:color="auto" w:fill="BFBFBF" w:themeFill="background1" w:themeFillShade="BF"/>
            <w:vAlign w:val="center"/>
          </w:tcPr>
          <w:p w14:paraId="43C6E468" w14:textId="18BF77BD"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b/>
                <w:color w:val="000000"/>
                <w:sz w:val="12"/>
                <w:szCs w:val="12"/>
              </w:rPr>
              <w:t>Estimate</w:t>
            </w:r>
          </w:p>
        </w:tc>
        <w:tc>
          <w:tcPr>
            <w:tcW w:w="1611" w:type="dxa"/>
            <w:shd w:val="clear" w:color="auto" w:fill="BFBFBF" w:themeFill="background1" w:themeFillShade="BF"/>
            <w:vAlign w:val="center"/>
          </w:tcPr>
          <w:p w14:paraId="403548A4" w14:textId="5ED4F929"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b/>
                <w:color w:val="000000"/>
                <w:sz w:val="12"/>
                <w:szCs w:val="12"/>
              </w:rPr>
              <w:t>Confidence Interval</w:t>
            </w:r>
          </w:p>
        </w:tc>
      </w:tr>
      <w:tr w:rsidR="00945A7F" w14:paraId="342CB5CF" w14:textId="77777777" w:rsidTr="00945A7F">
        <w:trPr>
          <w:jc w:val="center"/>
        </w:trPr>
        <w:tc>
          <w:tcPr>
            <w:tcW w:w="2013" w:type="dxa"/>
            <w:vAlign w:val="center"/>
          </w:tcPr>
          <w:p w14:paraId="7DA1BE62" w14:textId="1F524900"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sz w:val="12"/>
                <w:szCs w:val="12"/>
              </w:rPr>
              <w:t>IgM+ Sensitivity (PPA)</w:t>
            </w:r>
          </w:p>
        </w:tc>
        <w:tc>
          <w:tcPr>
            <w:tcW w:w="1487" w:type="dxa"/>
            <w:vAlign w:val="center"/>
          </w:tcPr>
          <w:p w14:paraId="4111C34B" w14:textId="4FDDBCC7"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eastAsiaTheme="minorHAnsi"/>
                <w:sz w:val="12"/>
                <w:szCs w:val="12"/>
              </w:rPr>
              <w:t>(30/30) 100%</w:t>
            </w:r>
          </w:p>
        </w:tc>
        <w:tc>
          <w:tcPr>
            <w:tcW w:w="1611" w:type="dxa"/>
            <w:vAlign w:val="center"/>
          </w:tcPr>
          <w:p w14:paraId="617DDA4D" w14:textId="08A00B2B"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eastAsiaTheme="minorHAnsi"/>
                <w:sz w:val="12"/>
                <w:szCs w:val="12"/>
              </w:rPr>
              <w:t>(</w:t>
            </w:r>
            <w:r w:rsidRPr="00945A7F">
              <w:rPr>
                <w:rFonts w:ascii="Times New Roman"/>
                <w:sz w:val="12"/>
                <w:szCs w:val="12"/>
              </w:rPr>
              <w:t>88.7%; 100%)</w:t>
            </w:r>
          </w:p>
        </w:tc>
      </w:tr>
      <w:tr w:rsidR="00945A7F" w14:paraId="59488825" w14:textId="77777777" w:rsidTr="00945A7F">
        <w:trPr>
          <w:jc w:val="center"/>
        </w:trPr>
        <w:tc>
          <w:tcPr>
            <w:tcW w:w="2013" w:type="dxa"/>
            <w:vAlign w:val="center"/>
          </w:tcPr>
          <w:p w14:paraId="32478703" w14:textId="32C748F6"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sz w:val="12"/>
                <w:szCs w:val="12"/>
              </w:rPr>
              <w:t>IgM- Specificity (NPA)</w:t>
            </w:r>
          </w:p>
        </w:tc>
        <w:tc>
          <w:tcPr>
            <w:tcW w:w="1487" w:type="dxa"/>
            <w:vAlign w:val="center"/>
          </w:tcPr>
          <w:p w14:paraId="7D135C7F" w14:textId="7ED92CA3"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(79/80) 98.8%</w:t>
            </w:r>
          </w:p>
        </w:tc>
        <w:tc>
          <w:tcPr>
            <w:tcW w:w="1611" w:type="dxa"/>
            <w:vAlign w:val="center"/>
          </w:tcPr>
          <w:p w14:paraId="6AD06F3E" w14:textId="6C925602"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eastAsiaTheme="minorHAnsi"/>
                <w:sz w:val="12"/>
                <w:szCs w:val="12"/>
              </w:rPr>
              <w:t>(93.3%; 98.8%)</w:t>
            </w:r>
          </w:p>
        </w:tc>
      </w:tr>
      <w:tr w:rsidR="00945A7F" w14:paraId="4EACEF7B" w14:textId="77777777" w:rsidTr="00945A7F">
        <w:trPr>
          <w:jc w:val="center"/>
        </w:trPr>
        <w:tc>
          <w:tcPr>
            <w:tcW w:w="2013" w:type="dxa"/>
            <w:vAlign w:val="center"/>
          </w:tcPr>
          <w:p w14:paraId="4E9BDF90" w14:textId="2246D58B"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sz w:val="12"/>
                <w:szCs w:val="12"/>
              </w:rPr>
              <w:t>IgG+ Sensitivity (PPA)</w:t>
            </w:r>
          </w:p>
        </w:tc>
        <w:tc>
          <w:tcPr>
            <w:tcW w:w="1487" w:type="dxa"/>
            <w:vAlign w:val="center"/>
          </w:tcPr>
          <w:p w14:paraId="4CDC7546" w14:textId="44FA810A"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(27/30) 90.0%</w:t>
            </w:r>
          </w:p>
        </w:tc>
        <w:tc>
          <w:tcPr>
            <w:tcW w:w="1611" w:type="dxa"/>
            <w:vAlign w:val="center"/>
          </w:tcPr>
          <w:p w14:paraId="408BCFBA" w14:textId="59352F47"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eastAsiaTheme="minorHAnsi"/>
                <w:sz w:val="12"/>
                <w:szCs w:val="12"/>
              </w:rPr>
              <w:t>(</w:t>
            </w:r>
            <w:r w:rsidRPr="00945A7F">
              <w:rPr>
                <w:rFonts w:ascii="Times New Roman"/>
                <w:sz w:val="12"/>
                <w:szCs w:val="12"/>
              </w:rPr>
              <w:t>74.4%; 96.5%)</w:t>
            </w:r>
          </w:p>
        </w:tc>
      </w:tr>
      <w:tr w:rsidR="00945A7F" w14:paraId="18020D8D" w14:textId="77777777" w:rsidTr="00945A7F">
        <w:trPr>
          <w:jc w:val="center"/>
        </w:trPr>
        <w:tc>
          <w:tcPr>
            <w:tcW w:w="2013" w:type="dxa"/>
            <w:vAlign w:val="center"/>
          </w:tcPr>
          <w:p w14:paraId="5B6C2483" w14:textId="127AF69D"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sz w:val="12"/>
                <w:szCs w:val="12"/>
              </w:rPr>
              <w:t>IgG- Specificity (NPA)</w:t>
            </w:r>
          </w:p>
        </w:tc>
        <w:tc>
          <w:tcPr>
            <w:tcW w:w="1487" w:type="dxa"/>
            <w:vAlign w:val="center"/>
          </w:tcPr>
          <w:p w14:paraId="5EC1A5D5" w14:textId="68639E0B"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(80/80)100%</w:t>
            </w:r>
          </w:p>
        </w:tc>
        <w:tc>
          <w:tcPr>
            <w:tcW w:w="1611" w:type="dxa"/>
            <w:vAlign w:val="center"/>
          </w:tcPr>
          <w:p w14:paraId="4603B9F7" w14:textId="50B2F160"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eastAsiaTheme="minorHAnsi"/>
                <w:sz w:val="12"/>
                <w:szCs w:val="12"/>
              </w:rPr>
              <w:t>(95.4%; 100%)</w:t>
            </w:r>
          </w:p>
        </w:tc>
      </w:tr>
      <w:tr w:rsidR="00945A7F" w14:paraId="1EA5D82C" w14:textId="77777777" w:rsidTr="00945A7F">
        <w:trPr>
          <w:jc w:val="center"/>
        </w:trPr>
        <w:tc>
          <w:tcPr>
            <w:tcW w:w="2013" w:type="dxa"/>
            <w:vAlign w:val="center"/>
          </w:tcPr>
          <w:p w14:paraId="21CEA561" w14:textId="12539298"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sz w:val="12"/>
                <w:szCs w:val="12"/>
              </w:rPr>
              <w:t>Combined Sensitivity</w:t>
            </w:r>
          </w:p>
        </w:tc>
        <w:tc>
          <w:tcPr>
            <w:tcW w:w="1487" w:type="dxa"/>
            <w:vAlign w:val="center"/>
          </w:tcPr>
          <w:p w14:paraId="0FAB34D6" w14:textId="7BE2C07F"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 xml:space="preserve">(30/30) </w:t>
            </w:r>
            <w:r w:rsidRPr="00945A7F">
              <w:rPr>
                <w:rFonts w:ascii="Times New Roman" w:eastAsiaTheme="minorHAnsi"/>
                <w:sz w:val="12"/>
                <w:szCs w:val="12"/>
              </w:rPr>
              <w:t>100%</w:t>
            </w:r>
          </w:p>
        </w:tc>
        <w:tc>
          <w:tcPr>
            <w:tcW w:w="1611" w:type="dxa"/>
            <w:vAlign w:val="center"/>
          </w:tcPr>
          <w:p w14:paraId="3616AADE" w14:textId="44FFB30F"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w:t>
            </w:r>
            <w:r w:rsidRPr="00945A7F">
              <w:rPr>
                <w:rFonts w:ascii="Times New Roman"/>
                <w:sz w:val="12"/>
                <w:szCs w:val="12"/>
              </w:rPr>
              <w:t>88.7%; 100%)</w:t>
            </w:r>
          </w:p>
        </w:tc>
      </w:tr>
      <w:tr w:rsidR="00945A7F" w14:paraId="09757DDE" w14:textId="77777777" w:rsidTr="00945A7F">
        <w:trPr>
          <w:jc w:val="center"/>
        </w:trPr>
        <w:tc>
          <w:tcPr>
            <w:tcW w:w="2013" w:type="dxa"/>
            <w:vAlign w:val="center"/>
          </w:tcPr>
          <w:p w14:paraId="5B62DB70" w14:textId="2B2B957B"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sz w:val="12"/>
                <w:szCs w:val="12"/>
              </w:rPr>
              <w:t>Combined Specificity</w:t>
            </w:r>
          </w:p>
        </w:tc>
        <w:tc>
          <w:tcPr>
            <w:tcW w:w="1487" w:type="dxa"/>
            <w:vAlign w:val="center"/>
          </w:tcPr>
          <w:p w14:paraId="7A892E27" w14:textId="39B75148"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(79/80)</w:t>
            </w:r>
            <w:r w:rsidR="00C40CE4">
              <w:rPr>
                <w:rFonts w:ascii="Times New Roman"/>
                <w:color w:val="000000"/>
                <w:sz w:val="12"/>
                <w:szCs w:val="12"/>
              </w:rPr>
              <w:t xml:space="preserve"> 98.8</w:t>
            </w:r>
            <w:r w:rsidRPr="00945A7F">
              <w:rPr>
                <w:rFonts w:ascii="Times New Roman"/>
                <w:color w:val="000000"/>
                <w:sz w:val="12"/>
                <w:szCs w:val="12"/>
              </w:rPr>
              <w:t>%</w:t>
            </w:r>
          </w:p>
        </w:tc>
        <w:tc>
          <w:tcPr>
            <w:tcW w:w="1611" w:type="dxa"/>
            <w:vAlign w:val="center"/>
          </w:tcPr>
          <w:p w14:paraId="7BBC7F88" w14:textId="2F5F7B1B"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w:t>
            </w:r>
            <w:r w:rsidRPr="00945A7F">
              <w:rPr>
                <w:rFonts w:ascii="Times New Roman" w:eastAsiaTheme="minorHAnsi"/>
                <w:sz w:val="12"/>
                <w:szCs w:val="12"/>
              </w:rPr>
              <w:t>93.3%; 98.8%)</w:t>
            </w:r>
          </w:p>
        </w:tc>
      </w:tr>
      <w:tr w:rsidR="00945A7F" w14:paraId="51E0EF0D" w14:textId="77777777" w:rsidTr="00945A7F">
        <w:trPr>
          <w:jc w:val="center"/>
        </w:trPr>
        <w:tc>
          <w:tcPr>
            <w:tcW w:w="2013" w:type="dxa"/>
            <w:vAlign w:val="center"/>
          </w:tcPr>
          <w:p w14:paraId="7B6A720E" w14:textId="4212555E"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sz w:val="12"/>
                <w:szCs w:val="12"/>
              </w:rPr>
              <w:t>Combined PPV for prevalence = 5%</w:t>
            </w:r>
          </w:p>
        </w:tc>
        <w:tc>
          <w:tcPr>
            <w:tcW w:w="1487" w:type="dxa"/>
            <w:vAlign w:val="center"/>
          </w:tcPr>
          <w:p w14:paraId="3DA67D12" w14:textId="7D028D9A"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80.8%</w:t>
            </w:r>
          </w:p>
        </w:tc>
        <w:tc>
          <w:tcPr>
            <w:tcW w:w="1611" w:type="dxa"/>
            <w:vAlign w:val="center"/>
          </w:tcPr>
          <w:p w14:paraId="3718EA4A" w14:textId="65FF4222"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w:t>
            </w:r>
            <w:r w:rsidRPr="00945A7F">
              <w:rPr>
                <w:rFonts w:ascii="Times New Roman"/>
                <w:sz w:val="12"/>
                <w:szCs w:val="12"/>
              </w:rPr>
              <w:t>40.9%; 96%)</w:t>
            </w:r>
          </w:p>
        </w:tc>
      </w:tr>
      <w:tr w:rsidR="00945A7F" w14:paraId="4179ADA7" w14:textId="77777777" w:rsidTr="00945A7F">
        <w:trPr>
          <w:jc w:val="center"/>
        </w:trPr>
        <w:tc>
          <w:tcPr>
            <w:tcW w:w="2013" w:type="dxa"/>
            <w:vAlign w:val="center"/>
          </w:tcPr>
          <w:p w14:paraId="3D3F9B37" w14:textId="5461CE24"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sz w:val="12"/>
                <w:szCs w:val="12"/>
              </w:rPr>
              <w:t>Combined NPV for prevalence = 5%</w:t>
            </w:r>
          </w:p>
        </w:tc>
        <w:tc>
          <w:tcPr>
            <w:tcW w:w="1487" w:type="dxa"/>
            <w:vAlign w:val="center"/>
          </w:tcPr>
          <w:p w14:paraId="4C32707C" w14:textId="0C98EF7E"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100%</w:t>
            </w:r>
          </w:p>
        </w:tc>
        <w:tc>
          <w:tcPr>
            <w:tcW w:w="1611" w:type="dxa"/>
            <w:vAlign w:val="center"/>
          </w:tcPr>
          <w:p w14:paraId="46122747" w14:textId="62285FC8"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(99.4%; 100%)</w:t>
            </w:r>
          </w:p>
        </w:tc>
      </w:tr>
      <w:tr w:rsidR="00945A7F" w14:paraId="58D886AD" w14:textId="77777777" w:rsidTr="00945A7F">
        <w:trPr>
          <w:trHeight w:val="269"/>
          <w:jc w:val="center"/>
        </w:trPr>
        <w:tc>
          <w:tcPr>
            <w:tcW w:w="2013" w:type="dxa"/>
            <w:vAlign w:val="center"/>
          </w:tcPr>
          <w:p w14:paraId="7407B7DB" w14:textId="472E107F"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sz w:val="12"/>
                <w:szCs w:val="12"/>
              </w:rPr>
              <w:t>Cross-reactivity with HIV+</w:t>
            </w:r>
          </w:p>
        </w:tc>
        <w:tc>
          <w:tcPr>
            <w:tcW w:w="1487" w:type="dxa"/>
            <w:vAlign w:val="center"/>
          </w:tcPr>
          <w:p w14:paraId="41EF5F89" w14:textId="77777777" w:rsidR="00945A7F" w:rsidRPr="00945A7F" w:rsidRDefault="00945A7F" w:rsidP="00945A7F">
            <w:pPr>
              <w:pStyle w:val="BodyText"/>
              <w:keepNext/>
              <w:keepLines/>
              <w:jc w:val="center"/>
              <w:rPr>
                <w:b w:val="0"/>
                <w:i/>
                <w:color w:val="000000"/>
                <w:sz w:val="12"/>
                <w:szCs w:val="12"/>
              </w:rPr>
            </w:pPr>
            <w:r w:rsidRPr="00945A7F">
              <w:rPr>
                <w:b w:val="0"/>
                <w:color w:val="000000"/>
                <w:sz w:val="12"/>
                <w:szCs w:val="12"/>
              </w:rPr>
              <w:t xml:space="preserve">(0/10) 0% </w:t>
            </w:r>
          </w:p>
          <w:p w14:paraId="672544BE" w14:textId="1730E97B"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not detected</w:t>
            </w:r>
          </w:p>
        </w:tc>
        <w:tc>
          <w:tcPr>
            <w:tcW w:w="1611" w:type="dxa"/>
            <w:vAlign w:val="center"/>
          </w:tcPr>
          <w:p w14:paraId="1BCB145A" w14:textId="4A79DDF0" w:rsidR="00945A7F" w:rsidRPr="00945A7F" w:rsidRDefault="00945A7F" w:rsidP="00945A7F">
            <w:pPr>
              <w:overflowPunct w:val="0"/>
              <w:autoSpaceDE w:val="0"/>
              <w:autoSpaceDN w:val="0"/>
              <w:adjustRightInd w:val="0"/>
              <w:spacing w:line="140" w:lineRule="exact"/>
              <w:jc w:val="center"/>
              <w:textAlignment w:val="baseline"/>
              <w:rPr>
                <w:rFonts w:ascii="Times New Roman" w:eastAsia="SimSun"/>
                <w:b/>
                <w:sz w:val="12"/>
                <w:szCs w:val="12"/>
              </w:rPr>
            </w:pPr>
            <w:r w:rsidRPr="00945A7F">
              <w:rPr>
                <w:rFonts w:ascii="Times New Roman"/>
                <w:color w:val="000000"/>
                <w:sz w:val="12"/>
                <w:szCs w:val="12"/>
              </w:rPr>
              <w:t>-----------------</w:t>
            </w:r>
          </w:p>
        </w:tc>
      </w:tr>
    </w:tbl>
    <w:p w14:paraId="24C567B6" w14:textId="58E25664" w:rsidR="00CF06B7" w:rsidRDefault="00D84484">
      <w:pPr>
        <w:spacing w:beforeLines="50" w:before="122" w:line="160" w:lineRule="exact"/>
        <w:rPr>
          <w:rFonts w:ascii="Times New Roman"/>
          <w:b/>
          <w:sz w:val="12"/>
          <w:szCs w:val="12"/>
          <w:u w:val="single"/>
        </w:rPr>
      </w:pPr>
      <w:r>
        <w:rPr>
          <w:rFonts w:ascii="Times New Roman"/>
          <w:b/>
          <w:sz w:val="12"/>
          <w:szCs w:val="12"/>
          <w:u w:val="single"/>
        </w:rPr>
        <w:t>Cross Reactivity</w:t>
      </w:r>
    </w:p>
    <w:p w14:paraId="44286B7D" w14:textId="616F71E5" w:rsidR="00CF06B7" w:rsidRDefault="00D84484">
      <w:pPr>
        <w:overflowPunct w:val="0"/>
        <w:autoSpaceDE w:val="0"/>
        <w:autoSpaceDN w:val="0"/>
        <w:adjustRightInd w:val="0"/>
        <w:spacing w:line="140" w:lineRule="exact"/>
        <w:textAlignment w:val="baseline"/>
        <w:rPr>
          <w:rFonts w:ascii="Times New Roman" w:eastAsia="SimSun"/>
          <w:sz w:val="12"/>
          <w:szCs w:val="12"/>
        </w:rPr>
      </w:pPr>
      <w:r>
        <w:rPr>
          <w:rFonts w:ascii="Times New Roman" w:eastAsia="SimSun"/>
          <w:sz w:val="12"/>
          <w:szCs w:val="12"/>
        </w:rPr>
        <w:t>There was no cross-reactivity with plasma specimens meeting the disease state shown below. No IgM or IgG false positive results were observed with the following potential cross-reactants:</w:t>
      </w:r>
    </w:p>
    <w:p w14:paraId="0B713D6E" w14:textId="124E5345" w:rsidR="00DE22BB" w:rsidRPr="00DE22BB" w:rsidRDefault="00DE22BB">
      <w:pPr>
        <w:overflowPunct w:val="0"/>
        <w:autoSpaceDE w:val="0"/>
        <w:autoSpaceDN w:val="0"/>
        <w:adjustRightInd w:val="0"/>
        <w:spacing w:line="140" w:lineRule="exact"/>
        <w:textAlignment w:val="baseline"/>
        <w:rPr>
          <w:rFonts w:ascii="Times New Roman" w:eastAsia="SimSun"/>
          <w:b/>
          <w:sz w:val="12"/>
          <w:szCs w:val="12"/>
        </w:rPr>
      </w:pPr>
    </w:p>
    <w:p w14:paraId="61DD3B48" w14:textId="30DBC228" w:rsidR="00DE22BB" w:rsidRPr="00DE22BB" w:rsidRDefault="00DE22BB">
      <w:pPr>
        <w:overflowPunct w:val="0"/>
        <w:autoSpaceDE w:val="0"/>
        <w:autoSpaceDN w:val="0"/>
        <w:adjustRightInd w:val="0"/>
        <w:spacing w:line="140" w:lineRule="exact"/>
        <w:textAlignment w:val="baseline"/>
        <w:rPr>
          <w:rFonts w:ascii="Times New Roman" w:eastAsia="SimSun"/>
          <w:b/>
          <w:sz w:val="12"/>
          <w:szCs w:val="12"/>
        </w:rPr>
      </w:pPr>
      <w:r w:rsidRPr="005646E1">
        <w:rPr>
          <w:rFonts w:ascii="Times New Roman" w:eastAsia="SimSun"/>
          <w:b/>
          <w:sz w:val="12"/>
          <w:szCs w:val="12"/>
        </w:rPr>
        <w:t>Table 7. Cross-reactivity</w:t>
      </w:r>
      <w:r w:rsidRPr="00DE22BB">
        <w:rPr>
          <w:rFonts w:ascii="Times New Roman" w:eastAsia="SimSun"/>
          <w:b/>
          <w:sz w:val="12"/>
          <w:szCs w:val="12"/>
        </w:rPr>
        <w:t xml:space="preserve"> Study Data of </w:t>
      </w:r>
      <w:r w:rsidRPr="00DE22BB">
        <w:rPr>
          <w:rFonts w:ascii="Times New Roman" w:hint="eastAsia"/>
          <w:b/>
          <w:sz w:val="12"/>
          <w:szCs w:val="12"/>
        </w:rPr>
        <w:t>Assure COVID-19 IgG/IgM Rapid Test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1"/>
        <w:gridCol w:w="1699"/>
        <w:gridCol w:w="773"/>
      </w:tblGrid>
      <w:tr w:rsidR="00CF06B7" w14:paraId="7433E4B0" w14:textId="77777777">
        <w:trPr>
          <w:trHeight w:val="113"/>
          <w:jc w:val="center"/>
        </w:trPr>
        <w:tc>
          <w:tcPr>
            <w:tcW w:w="1696" w:type="dxa"/>
            <w:vAlign w:val="center"/>
          </w:tcPr>
          <w:p w14:paraId="5DB060FE" w14:textId="77777777" w:rsidR="00CF06B7" w:rsidRDefault="00D84484">
            <w:pPr>
              <w:widowControl/>
              <w:spacing w:line="180" w:lineRule="exact"/>
              <w:rPr>
                <w:rFonts w:ascii="Times New Roman" w:eastAsia="DengXian"/>
                <w:b/>
                <w:color w:val="000000"/>
                <w:sz w:val="12"/>
                <w:szCs w:val="12"/>
              </w:rPr>
            </w:pPr>
            <w:r>
              <w:rPr>
                <w:rFonts w:ascii="Times New Roman" w:eastAsia="DengXian" w:hint="eastAsia"/>
                <w:b/>
                <w:color w:val="000000"/>
                <w:sz w:val="12"/>
                <w:szCs w:val="12"/>
              </w:rPr>
              <w:t>Conditions</w:t>
            </w:r>
          </w:p>
        </w:tc>
        <w:tc>
          <w:tcPr>
            <w:tcW w:w="851" w:type="dxa"/>
          </w:tcPr>
          <w:p w14:paraId="5285CE28" w14:textId="77777777" w:rsidR="00CF06B7" w:rsidRDefault="00D84484">
            <w:pPr>
              <w:spacing w:line="140" w:lineRule="exact"/>
              <w:rPr>
                <w:rFonts w:ascii="Times New Roman" w:eastAsia="DengXian"/>
                <w:b/>
                <w:color w:val="000000"/>
                <w:sz w:val="12"/>
                <w:szCs w:val="12"/>
              </w:rPr>
            </w:pPr>
            <w:r>
              <w:rPr>
                <w:rFonts w:ascii="Times New Roman" w:eastAsia="DengXian"/>
                <w:b/>
                <w:color w:val="000000"/>
                <w:sz w:val="12"/>
                <w:szCs w:val="12"/>
              </w:rPr>
              <w:t>Number of</w:t>
            </w:r>
          </w:p>
          <w:p w14:paraId="7242C538" w14:textId="77777777" w:rsidR="00CF06B7" w:rsidRDefault="00D84484">
            <w:pPr>
              <w:spacing w:line="140" w:lineRule="exact"/>
              <w:rPr>
                <w:rFonts w:ascii="Times New Roman" w:eastAsia="DengXian"/>
                <w:b/>
                <w:color w:val="000000"/>
                <w:sz w:val="12"/>
                <w:szCs w:val="12"/>
              </w:rPr>
            </w:pPr>
            <w:r>
              <w:rPr>
                <w:rFonts w:ascii="Times New Roman" w:eastAsia="DengXian"/>
                <w:b/>
                <w:color w:val="000000"/>
                <w:sz w:val="12"/>
                <w:szCs w:val="12"/>
              </w:rPr>
              <w:t>samples</w:t>
            </w:r>
          </w:p>
        </w:tc>
        <w:tc>
          <w:tcPr>
            <w:tcW w:w="1699" w:type="dxa"/>
            <w:vAlign w:val="center"/>
          </w:tcPr>
          <w:p w14:paraId="0694FCBE" w14:textId="77777777" w:rsidR="00CF06B7" w:rsidRDefault="00D84484">
            <w:pPr>
              <w:spacing w:line="180" w:lineRule="exact"/>
              <w:rPr>
                <w:rFonts w:ascii="Times New Roman" w:eastAsia="DengXian"/>
                <w:b/>
                <w:color w:val="000000"/>
                <w:sz w:val="12"/>
                <w:szCs w:val="12"/>
              </w:rPr>
            </w:pPr>
            <w:r>
              <w:rPr>
                <w:rFonts w:ascii="Times New Roman" w:eastAsia="DengXian" w:hint="eastAsia"/>
                <w:b/>
                <w:color w:val="000000"/>
                <w:sz w:val="12"/>
                <w:szCs w:val="12"/>
              </w:rPr>
              <w:t>Conditions</w:t>
            </w:r>
          </w:p>
        </w:tc>
        <w:tc>
          <w:tcPr>
            <w:tcW w:w="0" w:type="auto"/>
          </w:tcPr>
          <w:p w14:paraId="1CB0C131" w14:textId="77777777" w:rsidR="00CF06B7" w:rsidRDefault="00D84484">
            <w:pPr>
              <w:spacing w:line="140" w:lineRule="exact"/>
              <w:rPr>
                <w:rFonts w:ascii="Times New Roman" w:eastAsia="DengXian"/>
                <w:b/>
                <w:color w:val="000000"/>
                <w:sz w:val="12"/>
                <w:szCs w:val="12"/>
              </w:rPr>
            </w:pPr>
            <w:r>
              <w:rPr>
                <w:rFonts w:ascii="Times New Roman" w:eastAsia="DengXian"/>
                <w:b/>
                <w:color w:val="000000"/>
                <w:sz w:val="12"/>
                <w:szCs w:val="12"/>
              </w:rPr>
              <w:t>Number of</w:t>
            </w:r>
          </w:p>
          <w:p w14:paraId="43F0492C" w14:textId="77777777" w:rsidR="00CF06B7" w:rsidRDefault="00D84484">
            <w:pPr>
              <w:spacing w:line="180" w:lineRule="exact"/>
              <w:rPr>
                <w:rFonts w:ascii="Times New Roman" w:eastAsia="DengXian"/>
                <w:b/>
                <w:color w:val="000000"/>
                <w:sz w:val="12"/>
                <w:szCs w:val="12"/>
              </w:rPr>
            </w:pPr>
            <w:r>
              <w:rPr>
                <w:rFonts w:ascii="Times New Roman" w:eastAsia="DengXian"/>
                <w:b/>
                <w:color w:val="000000"/>
                <w:sz w:val="12"/>
                <w:szCs w:val="12"/>
              </w:rPr>
              <w:t>samples</w:t>
            </w:r>
          </w:p>
        </w:tc>
      </w:tr>
      <w:tr w:rsidR="00CF06B7" w14:paraId="007EEABB" w14:textId="77777777">
        <w:trPr>
          <w:trHeight w:val="113"/>
          <w:jc w:val="center"/>
        </w:trPr>
        <w:tc>
          <w:tcPr>
            <w:tcW w:w="1696" w:type="dxa"/>
            <w:vAlign w:val="center"/>
          </w:tcPr>
          <w:p w14:paraId="05D92DA0" w14:textId="77777777" w:rsidR="00CF06B7" w:rsidRDefault="00D84484">
            <w:pPr>
              <w:widowControl/>
              <w:spacing w:line="180" w:lineRule="exact"/>
              <w:rPr>
                <w:rFonts w:ascii="Times New Roman" w:eastAsia="DengXian"/>
                <w:color w:val="000000"/>
                <w:sz w:val="12"/>
                <w:szCs w:val="12"/>
              </w:rPr>
            </w:pPr>
            <w:r>
              <w:rPr>
                <w:rFonts w:ascii="Times New Roman" w:eastAsia="DengXian"/>
                <w:color w:val="000000"/>
                <w:sz w:val="12"/>
                <w:szCs w:val="12"/>
              </w:rPr>
              <w:t>Anti-HAV IgM +</w:t>
            </w:r>
          </w:p>
        </w:tc>
        <w:tc>
          <w:tcPr>
            <w:tcW w:w="851" w:type="dxa"/>
          </w:tcPr>
          <w:p w14:paraId="77B80600"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69CB14A6"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Lyme disease+</w:t>
            </w:r>
          </w:p>
        </w:tc>
        <w:tc>
          <w:tcPr>
            <w:tcW w:w="0" w:type="auto"/>
          </w:tcPr>
          <w:p w14:paraId="2EE41ED0"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r>
      <w:tr w:rsidR="00CF06B7" w14:paraId="425DAB62" w14:textId="77777777">
        <w:trPr>
          <w:trHeight w:val="113"/>
          <w:jc w:val="center"/>
        </w:trPr>
        <w:tc>
          <w:tcPr>
            <w:tcW w:w="1696" w:type="dxa"/>
            <w:vAlign w:val="center"/>
          </w:tcPr>
          <w:p w14:paraId="1FFFC142"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Anti-HEV IgG +</w:t>
            </w:r>
          </w:p>
        </w:tc>
        <w:tc>
          <w:tcPr>
            <w:tcW w:w="851" w:type="dxa"/>
          </w:tcPr>
          <w:p w14:paraId="31A5B2BB" w14:textId="77777777" w:rsidR="00CF06B7" w:rsidRDefault="00D84484">
            <w:pPr>
              <w:widowControl/>
              <w:spacing w:line="180" w:lineRule="exact"/>
              <w:rPr>
                <w:rFonts w:ascii="Times New Roman" w:eastAsia="DengXian"/>
                <w:color w:val="000000"/>
                <w:sz w:val="12"/>
                <w:szCs w:val="12"/>
              </w:rPr>
            </w:pPr>
            <w:r>
              <w:rPr>
                <w:rFonts w:ascii="Times New Roman" w:eastAsia="DengXian" w:hint="eastAsia"/>
                <w:color w:val="000000"/>
                <w:sz w:val="12"/>
                <w:szCs w:val="12"/>
              </w:rPr>
              <w:t>2</w:t>
            </w:r>
          </w:p>
        </w:tc>
        <w:tc>
          <w:tcPr>
            <w:tcW w:w="1699" w:type="dxa"/>
            <w:vAlign w:val="center"/>
          </w:tcPr>
          <w:p w14:paraId="3CC6864A" w14:textId="77777777" w:rsidR="00CF06B7" w:rsidRDefault="00D84484">
            <w:pPr>
              <w:widowControl/>
              <w:spacing w:line="180" w:lineRule="exact"/>
              <w:rPr>
                <w:rFonts w:ascii="Times New Roman" w:eastAsia="DengXian"/>
                <w:color w:val="000000"/>
                <w:sz w:val="12"/>
                <w:szCs w:val="12"/>
              </w:rPr>
            </w:pPr>
            <w:r>
              <w:rPr>
                <w:rFonts w:ascii="Times New Roman" w:eastAsia="DengXian"/>
                <w:color w:val="000000"/>
                <w:sz w:val="12"/>
                <w:szCs w:val="12"/>
              </w:rPr>
              <w:t>P. falciparum +</w:t>
            </w:r>
          </w:p>
        </w:tc>
        <w:tc>
          <w:tcPr>
            <w:tcW w:w="0" w:type="auto"/>
          </w:tcPr>
          <w:p w14:paraId="271A989E" w14:textId="77777777" w:rsidR="00CF06B7" w:rsidRDefault="00D84484">
            <w:pPr>
              <w:widowControl/>
              <w:spacing w:line="180" w:lineRule="exact"/>
              <w:rPr>
                <w:rFonts w:ascii="Times New Roman" w:eastAsia="DengXian"/>
                <w:color w:val="000000"/>
                <w:sz w:val="12"/>
                <w:szCs w:val="12"/>
              </w:rPr>
            </w:pPr>
            <w:r>
              <w:rPr>
                <w:rFonts w:ascii="Times New Roman" w:eastAsia="DengXian" w:hint="eastAsia"/>
                <w:color w:val="000000"/>
                <w:sz w:val="12"/>
                <w:szCs w:val="12"/>
              </w:rPr>
              <w:t>5</w:t>
            </w:r>
          </w:p>
        </w:tc>
      </w:tr>
      <w:tr w:rsidR="00CF06B7" w14:paraId="2D318A6C" w14:textId="77777777">
        <w:trPr>
          <w:trHeight w:val="113"/>
          <w:jc w:val="center"/>
        </w:trPr>
        <w:tc>
          <w:tcPr>
            <w:tcW w:w="1696" w:type="dxa"/>
            <w:vAlign w:val="center"/>
          </w:tcPr>
          <w:p w14:paraId="1E849B1B"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HBsAg +</w:t>
            </w:r>
          </w:p>
        </w:tc>
        <w:tc>
          <w:tcPr>
            <w:tcW w:w="851" w:type="dxa"/>
          </w:tcPr>
          <w:p w14:paraId="603F1FBE"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70B19A0E"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P. vivax +</w:t>
            </w:r>
          </w:p>
        </w:tc>
        <w:tc>
          <w:tcPr>
            <w:tcW w:w="0" w:type="auto"/>
          </w:tcPr>
          <w:p w14:paraId="687009B6"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r>
      <w:tr w:rsidR="00CF06B7" w14:paraId="357B051E" w14:textId="77777777">
        <w:trPr>
          <w:trHeight w:val="113"/>
          <w:jc w:val="center"/>
        </w:trPr>
        <w:tc>
          <w:tcPr>
            <w:tcW w:w="1696" w:type="dxa"/>
            <w:vAlign w:val="center"/>
          </w:tcPr>
          <w:p w14:paraId="60981C03"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Anti-HCV +</w:t>
            </w:r>
          </w:p>
        </w:tc>
        <w:tc>
          <w:tcPr>
            <w:tcW w:w="851" w:type="dxa"/>
          </w:tcPr>
          <w:p w14:paraId="46778392"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71FF41C4"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Toxoplasma IgM +</w:t>
            </w:r>
          </w:p>
        </w:tc>
        <w:tc>
          <w:tcPr>
            <w:tcW w:w="0" w:type="auto"/>
          </w:tcPr>
          <w:p w14:paraId="688AF237"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r>
      <w:tr w:rsidR="00CF06B7" w14:paraId="35E25C4E" w14:textId="77777777">
        <w:trPr>
          <w:trHeight w:val="113"/>
          <w:jc w:val="center"/>
        </w:trPr>
        <w:tc>
          <w:tcPr>
            <w:tcW w:w="1696" w:type="dxa"/>
            <w:vAlign w:val="center"/>
          </w:tcPr>
          <w:p w14:paraId="4B802145"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Anti-HIV +</w:t>
            </w:r>
          </w:p>
        </w:tc>
        <w:tc>
          <w:tcPr>
            <w:tcW w:w="851" w:type="dxa"/>
          </w:tcPr>
          <w:p w14:paraId="0D8937F3"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64341D9F"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HAMA +</w:t>
            </w:r>
          </w:p>
        </w:tc>
        <w:tc>
          <w:tcPr>
            <w:tcW w:w="0" w:type="auto"/>
          </w:tcPr>
          <w:p w14:paraId="3E614D61"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1</w:t>
            </w:r>
          </w:p>
        </w:tc>
      </w:tr>
      <w:tr w:rsidR="00CF06B7" w14:paraId="7E54AC3C" w14:textId="77777777">
        <w:trPr>
          <w:trHeight w:val="113"/>
          <w:jc w:val="center"/>
        </w:trPr>
        <w:tc>
          <w:tcPr>
            <w:tcW w:w="1696" w:type="dxa"/>
            <w:vAlign w:val="center"/>
          </w:tcPr>
          <w:p w14:paraId="47FBDC8D"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Anti-Rubella IgM +</w:t>
            </w:r>
          </w:p>
        </w:tc>
        <w:tc>
          <w:tcPr>
            <w:tcW w:w="851" w:type="dxa"/>
          </w:tcPr>
          <w:p w14:paraId="2448DA40"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19E9989A"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RF +</w:t>
            </w:r>
          </w:p>
        </w:tc>
        <w:tc>
          <w:tcPr>
            <w:tcW w:w="0" w:type="auto"/>
          </w:tcPr>
          <w:p w14:paraId="31900D22"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r>
      <w:tr w:rsidR="00CF06B7" w14:paraId="415C160F" w14:textId="77777777">
        <w:trPr>
          <w:trHeight w:val="113"/>
          <w:jc w:val="center"/>
        </w:trPr>
        <w:tc>
          <w:tcPr>
            <w:tcW w:w="1696" w:type="dxa"/>
            <w:vAlign w:val="center"/>
          </w:tcPr>
          <w:p w14:paraId="116086AA"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Anti-CMV IgM +</w:t>
            </w:r>
          </w:p>
        </w:tc>
        <w:tc>
          <w:tcPr>
            <w:tcW w:w="851" w:type="dxa"/>
          </w:tcPr>
          <w:p w14:paraId="3F1AEDD1"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07223E66"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ANA+</w:t>
            </w:r>
          </w:p>
        </w:tc>
        <w:tc>
          <w:tcPr>
            <w:tcW w:w="0" w:type="auto"/>
          </w:tcPr>
          <w:p w14:paraId="47C08FDE"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r>
      <w:tr w:rsidR="00CF06B7" w14:paraId="5CC3E305" w14:textId="77777777">
        <w:trPr>
          <w:trHeight w:val="113"/>
          <w:jc w:val="center"/>
        </w:trPr>
        <w:tc>
          <w:tcPr>
            <w:tcW w:w="1696" w:type="dxa"/>
            <w:vAlign w:val="center"/>
          </w:tcPr>
          <w:p w14:paraId="04C71232"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Anti-HSV-I IgM +</w:t>
            </w:r>
          </w:p>
        </w:tc>
        <w:tc>
          <w:tcPr>
            <w:tcW w:w="851" w:type="dxa"/>
          </w:tcPr>
          <w:p w14:paraId="6411CC59"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19D9576A"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 xml:space="preserve">Anti-Influenza </w:t>
            </w:r>
            <w:proofErr w:type="gramStart"/>
            <w:r>
              <w:rPr>
                <w:rFonts w:ascii="Times New Roman" w:eastAsia="DengXian"/>
                <w:color w:val="000000"/>
                <w:sz w:val="12"/>
                <w:szCs w:val="12"/>
              </w:rPr>
              <w:t>A</w:t>
            </w:r>
            <w:proofErr w:type="gramEnd"/>
            <w:r>
              <w:rPr>
                <w:rFonts w:ascii="Times New Roman" w:eastAsia="DengXian"/>
                <w:color w:val="000000"/>
                <w:sz w:val="12"/>
                <w:szCs w:val="12"/>
              </w:rPr>
              <w:t xml:space="preserve"> IgM +</w:t>
            </w:r>
          </w:p>
        </w:tc>
        <w:tc>
          <w:tcPr>
            <w:tcW w:w="0" w:type="auto"/>
          </w:tcPr>
          <w:p w14:paraId="41FB3242"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3</w:t>
            </w:r>
          </w:p>
        </w:tc>
      </w:tr>
      <w:tr w:rsidR="00CF06B7" w14:paraId="2474537C" w14:textId="77777777">
        <w:trPr>
          <w:trHeight w:val="113"/>
          <w:jc w:val="center"/>
        </w:trPr>
        <w:tc>
          <w:tcPr>
            <w:tcW w:w="1696" w:type="dxa"/>
            <w:vAlign w:val="center"/>
          </w:tcPr>
          <w:p w14:paraId="61E916DF"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Anti-HSV-II IgM +</w:t>
            </w:r>
          </w:p>
        </w:tc>
        <w:tc>
          <w:tcPr>
            <w:tcW w:w="851" w:type="dxa"/>
          </w:tcPr>
          <w:p w14:paraId="461F63F8"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3D4AFDB5"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Anti-Influenza B IgM +</w:t>
            </w:r>
          </w:p>
        </w:tc>
        <w:tc>
          <w:tcPr>
            <w:tcW w:w="0" w:type="auto"/>
          </w:tcPr>
          <w:p w14:paraId="00F3CFB7"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1</w:t>
            </w:r>
          </w:p>
        </w:tc>
      </w:tr>
      <w:tr w:rsidR="00CF06B7" w14:paraId="568C9941" w14:textId="77777777">
        <w:trPr>
          <w:trHeight w:val="113"/>
          <w:jc w:val="center"/>
        </w:trPr>
        <w:tc>
          <w:tcPr>
            <w:tcW w:w="1696" w:type="dxa"/>
            <w:vAlign w:val="center"/>
          </w:tcPr>
          <w:p w14:paraId="1DB371C6"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EBV IgM +</w:t>
            </w:r>
          </w:p>
        </w:tc>
        <w:tc>
          <w:tcPr>
            <w:tcW w:w="851" w:type="dxa"/>
          </w:tcPr>
          <w:p w14:paraId="082080FA"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4</w:t>
            </w:r>
          </w:p>
        </w:tc>
        <w:tc>
          <w:tcPr>
            <w:tcW w:w="1699" w:type="dxa"/>
            <w:vAlign w:val="center"/>
          </w:tcPr>
          <w:p w14:paraId="6200AFF4"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Anti-RSV IgM +</w:t>
            </w:r>
          </w:p>
        </w:tc>
        <w:tc>
          <w:tcPr>
            <w:tcW w:w="0" w:type="auto"/>
          </w:tcPr>
          <w:p w14:paraId="4F6AFD84"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3</w:t>
            </w:r>
          </w:p>
        </w:tc>
      </w:tr>
      <w:tr w:rsidR="00CF06B7" w14:paraId="0604CBAB" w14:textId="77777777">
        <w:trPr>
          <w:trHeight w:val="113"/>
          <w:jc w:val="center"/>
        </w:trPr>
        <w:tc>
          <w:tcPr>
            <w:tcW w:w="1696" w:type="dxa"/>
            <w:vAlign w:val="center"/>
          </w:tcPr>
          <w:p w14:paraId="6AE02675"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Anti-Dengue IgM +</w:t>
            </w:r>
          </w:p>
        </w:tc>
        <w:tc>
          <w:tcPr>
            <w:tcW w:w="851" w:type="dxa"/>
          </w:tcPr>
          <w:p w14:paraId="34303A29"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393400D9"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Legionella pneumophila IgM+</w:t>
            </w:r>
          </w:p>
        </w:tc>
        <w:tc>
          <w:tcPr>
            <w:tcW w:w="0" w:type="auto"/>
          </w:tcPr>
          <w:p w14:paraId="1B116963"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2</w:t>
            </w:r>
          </w:p>
        </w:tc>
      </w:tr>
      <w:tr w:rsidR="00CF06B7" w14:paraId="6F1C2957" w14:textId="77777777">
        <w:trPr>
          <w:trHeight w:val="113"/>
          <w:jc w:val="center"/>
        </w:trPr>
        <w:tc>
          <w:tcPr>
            <w:tcW w:w="1696" w:type="dxa"/>
            <w:vAlign w:val="center"/>
          </w:tcPr>
          <w:p w14:paraId="0106044A"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Anti-Yellow fever +</w:t>
            </w:r>
          </w:p>
        </w:tc>
        <w:tc>
          <w:tcPr>
            <w:tcW w:w="851" w:type="dxa"/>
          </w:tcPr>
          <w:p w14:paraId="5EDF41F4"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35F21AE3"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Anti-Adenovirus IgM +</w:t>
            </w:r>
          </w:p>
        </w:tc>
        <w:tc>
          <w:tcPr>
            <w:tcW w:w="0" w:type="auto"/>
          </w:tcPr>
          <w:p w14:paraId="23FE5553"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1</w:t>
            </w:r>
          </w:p>
        </w:tc>
      </w:tr>
      <w:tr w:rsidR="00CF06B7" w14:paraId="67E249F3" w14:textId="77777777">
        <w:trPr>
          <w:trHeight w:val="113"/>
          <w:jc w:val="center"/>
        </w:trPr>
        <w:tc>
          <w:tcPr>
            <w:tcW w:w="1696" w:type="dxa"/>
            <w:vAlign w:val="center"/>
          </w:tcPr>
          <w:p w14:paraId="266AE6CB"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Anti-Zika IgG +</w:t>
            </w:r>
          </w:p>
        </w:tc>
        <w:tc>
          <w:tcPr>
            <w:tcW w:w="851" w:type="dxa"/>
          </w:tcPr>
          <w:p w14:paraId="6E24BAB5"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121B9E1A"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Anti-Mycoplasma pneumonia IgM +</w:t>
            </w:r>
          </w:p>
        </w:tc>
        <w:tc>
          <w:tcPr>
            <w:tcW w:w="0" w:type="auto"/>
          </w:tcPr>
          <w:p w14:paraId="488D1819"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3</w:t>
            </w:r>
          </w:p>
        </w:tc>
      </w:tr>
      <w:tr w:rsidR="00CF06B7" w14:paraId="5C8FE130" w14:textId="77777777">
        <w:trPr>
          <w:trHeight w:val="113"/>
          <w:jc w:val="center"/>
        </w:trPr>
        <w:tc>
          <w:tcPr>
            <w:tcW w:w="1696" w:type="dxa"/>
            <w:vAlign w:val="center"/>
          </w:tcPr>
          <w:p w14:paraId="6F3BEB6E"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Chagas Ab+</w:t>
            </w:r>
          </w:p>
        </w:tc>
        <w:tc>
          <w:tcPr>
            <w:tcW w:w="851" w:type="dxa"/>
          </w:tcPr>
          <w:p w14:paraId="68C3DA56"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3C9C0D5A"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Anti-Chlamydia pneumonia IgM +</w:t>
            </w:r>
          </w:p>
        </w:tc>
        <w:tc>
          <w:tcPr>
            <w:tcW w:w="0" w:type="auto"/>
          </w:tcPr>
          <w:p w14:paraId="49B9160E"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3</w:t>
            </w:r>
          </w:p>
        </w:tc>
      </w:tr>
      <w:tr w:rsidR="00CF06B7" w14:paraId="4DBF2A10" w14:textId="77777777">
        <w:trPr>
          <w:trHeight w:val="113"/>
          <w:jc w:val="center"/>
        </w:trPr>
        <w:tc>
          <w:tcPr>
            <w:tcW w:w="1696" w:type="dxa"/>
            <w:vAlign w:val="center"/>
          </w:tcPr>
          <w:p w14:paraId="16BEE0EE"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Anti-Syphilis IgG +</w:t>
            </w:r>
          </w:p>
        </w:tc>
        <w:tc>
          <w:tcPr>
            <w:tcW w:w="851" w:type="dxa"/>
          </w:tcPr>
          <w:p w14:paraId="33C7D2EB"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4</w:t>
            </w:r>
          </w:p>
        </w:tc>
        <w:tc>
          <w:tcPr>
            <w:tcW w:w="1699" w:type="dxa"/>
            <w:vAlign w:val="center"/>
          </w:tcPr>
          <w:p w14:paraId="13F34DA7"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Anti-Chlamydia pneumonia IgG +</w:t>
            </w:r>
          </w:p>
        </w:tc>
        <w:tc>
          <w:tcPr>
            <w:tcW w:w="0" w:type="auto"/>
          </w:tcPr>
          <w:p w14:paraId="77F6AFB2"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2</w:t>
            </w:r>
          </w:p>
        </w:tc>
      </w:tr>
      <w:tr w:rsidR="00CF06B7" w14:paraId="44F70FC1" w14:textId="77777777">
        <w:trPr>
          <w:trHeight w:val="113"/>
          <w:jc w:val="center"/>
        </w:trPr>
        <w:tc>
          <w:tcPr>
            <w:tcW w:w="1696" w:type="dxa"/>
            <w:vAlign w:val="center"/>
          </w:tcPr>
          <w:p w14:paraId="39BD7EF4"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Anti-Tuberculosis +</w:t>
            </w:r>
          </w:p>
        </w:tc>
        <w:tc>
          <w:tcPr>
            <w:tcW w:w="851" w:type="dxa"/>
          </w:tcPr>
          <w:p w14:paraId="35BC39FF"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1109BFEF"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Measles IgG +</w:t>
            </w:r>
          </w:p>
        </w:tc>
        <w:tc>
          <w:tcPr>
            <w:tcW w:w="0" w:type="auto"/>
          </w:tcPr>
          <w:p w14:paraId="3E14F490"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1</w:t>
            </w:r>
          </w:p>
        </w:tc>
      </w:tr>
      <w:tr w:rsidR="00CF06B7" w14:paraId="58260A1A" w14:textId="77777777">
        <w:trPr>
          <w:trHeight w:val="113"/>
          <w:jc w:val="center"/>
        </w:trPr>
        <w:tc>
          <w:tcPr>
            <w:tcW w:w="1696" w:type="dxa"/>
            <w:vAlign w:val="center"/>
          </w:tcPr>
          <w:p w14:paraId="552437FA"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Typhoid IgM +</w:t>
            </w:r>
          </w:p>
        </w:tc>
        <w:tc>
          <w:tcPr>
            <w:tcW w:w="851" w:type="dxa"/>
          </w:tcPr>
          <w:p w14:paraId="69845BFE"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w:t>
            </w:r>
          </w:p>
        </w:tc>
        <w:tc>
          <w:tcPr>
            <w:tcW w:w="1699" w:type="dxa"/>
            <w:vAlign w:val="center"/>
          </w:tcPr>
          <w:p w14:paraId="15CA07E0"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Mumps IgG +</w:t>
            </w:r>
          </w:p>
        </w:tc>
        <w:tc>
          <w:tcPr>
            <w:tcW w:w="0" w:type="auto"/>
          </w:tcPr>
          <w:p w14:paraId="029CE5BC"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1</w:t>
            </w:r>
          </w:p>
        </w:tc>
      </w:tr>
    </w:tbl>
    <w:p w14:paraId="465E791D" w14:textId="77777777" w:rsidR="00CF06B7" w:rsidRDefault="00CF06B7">
      <w:pPr>
        <w:spacing w:line="140" w:lineRule="exact"/>
        <w:rPr>
          <w:rFonts w:ascii="Times New Roman" w:eastAsia="SimSun"/>
          <w:b/>
          <w:sz w:val="13"/>
          <w:szCs w:val="13"/>
          <w:u w:val="single"/>
        </w:rPr>
      </w:pPr>
    </w:p>
    <w:p w14:paraId="31592D12" w14:textId="77777777" w:rsidR="00CF06B7" w:rsidRDefault="00CF06B7">
      <w:pPr>
        <w:spacing w:line="140" w:lineRule="exact"/>
        <w:rPr>
          <w:rFonts w:ascii="Times New Roman"/>
          <w:b/>
          <w:sz w:val="13"/>
          <w:szCs w:val="13"/>
          <w:u w:val="single"/>
        </w:rPr>
      </w:pPr>
    </w:p>
    <w:p w14:paraId="4522D5B8" w14:textId="77777777" w:rsidR="00CF06B7" w:rsidRDefault="00D84484">
      <w:pPr>
        <w:spacing w:line="140" w:lineRule="exact"/>
        <w:rPr>
          <w:rFonts w:ascii="Times New Roman"/>
          <w:b/>
          <w:sz w:val="13"/>
          <w:szCs w:val="13"/>
          <w:u w:val="single"/>
        </w:rPr>
      </w:pPr>
      <w:r>
        <w:rPr>
          <w:rFonts w:ascii="Times New Roman"/>
          <w:b/>
          <w:sz w:val="13"/>
          <w:szCs w:val="13"/>
          <w:u w:val="single"/>
        </w:rPr>
        <w:t>Interfering Substances</w:t>
      </w:r>
    </w:p>
    <w:p w14:paraId="646DC6F0" w14:textId="478E023B" w:rsidR="00CF06B7" w:rsidRPr="00DE22BB" w:rsidRDefault="00D84484">
      <w:pPr>
        <w:overflowPunct w:val="0"/>
        <w:autoSpaceDE w:val="0"/>
        <w:autoSpaceDN w:val="0"/>
        <w:adjustRightInd w:val="0"/>
        <w:spacing w:line="140" w:lineRule="exact"/>
        <w:textAlignment w:val="baseline"/>
        <w:rPr>
          <w:rFonts w:ascii="Times New Roman" w:eastAsia="SimSun"/>
          <w:b/>
          <w:sz w:val="12"/>
          <w:szCs w:val="12"/>
        </w:rPr>
      </w:pPr>
      <w:r>
        <w:rPr>
          <w:rFonts w:ascii="Times New Roman" w:eastAsia="SimSun" w:hint="eastAsia"/>
          <w:sz w:val="12"/>
          <w:szCs w:val="12"/>
        </w:rPr>
        <w:t xml:space="preserve">The assay performance of COVID-19 IgG/IgM Rapid Test </w:t>
      </w:r>
      <w:r>
        <w:rPr>
          <w:rFonts w:ascii="Times New Roman" w:eastAsia="SimSun"/>
          <w:sz w:val="12"/>
          <w:szCs w:val="12"/>
        </w:rPr>
        <w:t xml:space="preserve">Device </w:t>
      </w:r>
      <w:r>
        <w:rPr>
          <w:rFonts w:ascii="Times New Roman" w:eastAsia="SimSun" w:hint="eastAsia"/>
          <w:sz w:val="12"/>
          <w:szCs w:val="12"/>
        </w:rPr>
        <w:t>is not affected by substances at concentrations listed below.</w:t>
      </w:r>
    </w:p>
    <w:p w14:paraId="2C7157E5" w14:textId="77777777" w:rsidR="00DE22BB" w:rsidRPr="00DE22BB" w:rsidRDefault="00DE22BB">
      <w:pPr>
        <w:overflowPunct w:val="0"/>
        <w:autoSpaceDE w:val="0"/>
        <w:autoSpaceDN w:val="0"/>
        <w:adjustRightInd w:val="0"/>
        <w:spacing w:line="140" w:lineRule="exact"/>
        <w:textAlignment w:val="baseline"/>
        <w:rPr>
          <w:rFonts w:ascii="Times New Roman" w:eastAsia="SimSun"/>
          <w:b/>
          <w:sz w:val="12"/>
          <w:szCs w:val="12"/>
        </w:rPr>
      </w:pPr>
    </w:p>
    <w:p w14:paraId="3C5A40E6" w14:textId="3AC57FBE" w:rsidR="002B56B3" w:rsidRPr="00DE22BB" w:rsidRDefault="00DE22BB">
      <w:pPr>
        <w:overflowPunct w:val="0"/>
        <w:autoSpaceDE w:val="0"/>
        <w:autoSpaceDN w:val="0"/>
        <w:adjustRightInd w:val="0"/>
        <w:spacing w:line="140" w:lineRule="exact"/>
        <w:textAlignment w:val="baseline"/>
        <w:rPr>
          <w:rFonts w:ascii="Times New Roman" w:eastAsia="SimSun"/>
          <w:b/>
          <w:sz w:val="12"/>
          <w:szCs w:val="12"/>
        </w:rPr>
      </w:pPr>
      <w:r w:rsidRPr="005646E1">
        <w:rPr>
          <w:rFonts w:ascii="Times New Roman" w:eastAsia="SimSun"/>
          <w:b/>
          <w:sz w:val="12"/>
          <w:szCs w:val="12"/>
        </w:rPr>
        <w:t xml:space="preserve">Table 7. Interference Study Data of </w:t>
      </w:r>
      <w:r w:rsidRPr="005646E1">
        <w:rPr>
          <w:rFonts w:ascii="Times New Roman" w:hint="eastAsia"/>
          <w:b/>
          <w:sz w:val="12"/>
          <w:szCs w:val="12"/>
        </w:rPr>
        <w:t>Assure COVID-19 IgG/IgM Rapid Test Device</w:t>
      </w:r>
      <w:r w:rsidR="003F2FD7">
        <w:rPr>
          <w:rFonts w:ascii="Times New Roman"/>
          <w:b/>
          <w:sz w:val="12"/>
          <w:szCs w:val="12"/>
        </w:rPr>
        <w:t>@diareagent.com</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625"/>
        <w:gridCol w:w="2414"/>
      </w:tblGrid>
      <w:tr w:rsidR="00CF06B7" w14:paraId="276BC5C5" w14:textId="77777777">
        <w:trPr>
          <w:trHeight w:val="57"/>
        </w:trPr>
        <w:tc>
          <w:tcPr>
            <w:tcW w:w="2605" w:type="pct"/>
          </w:tcPr>
          <w:p w14:paraId="6275CFE2" w14:textId="77777777" w:rsidR="00CF06B7" w:rsidRDefault="00D84484">
            <w:pPr>
              <w:spacing w:line="180" w:lineRule="exact"/>
              <w:rPr>
                <w:rFonts w:ascii="Times New Roman" w:eastAsia="SimSun"/>
                <w:b/>
                <w:sz w:val="13"/>
                <w:szCs w:val="13"/>
              </w:rPr>
            </w:pPr>
            <w:r>
              <w:rPr>
                <w:rFonts w:ascii="Times New Roman" w:eastAsia="SimSun" w:hint="eastAsia"/>
                <w:b/>
                <w:sz w:val="13"/>
                <w:szCs w:val="13"/>
              </w:rPr>
              <w:t>Interfering substances</w:t>
            </w:r>
          </w:p>
        </w:tc>
        <w:tc>
          <w:tcPr>
            <w:tcW w:w="2395" w:type="pct"/>
          </w:tcPr>
          <w:p w14:paraId="5CB5041D" w14:textId="77777777" w:rsidR="00CF06B7" w:rsidRDefault="00D84484">
            <w:pPr>
              <w:spacing w:line="180" w:lineRule="exact"/>
              <w:rPr>
                <w:rFonts w:ascii="Times New Roman" w:eastAsia="SimSun"/>
                <w:sz w:val="13"/>
                <w:szCs w:val="13"/>
              </w:rPr>
            </w:pPr>
            <w:r>
              <w:rPr>
                <w:rFonts w:ascii="Times New Roman" w:eastAsia="SimSun" w:hint="eastAsia"/>
                <w:sz w:val="13"/>
                <w:szCs w:val="13"/>
              </w:rPr>
              <w:t xml:space="preserve">Concentration of </w:t>
            </w:r>
            <w:proofErr w:type="spellStart"/>
            <w:r>
              <w:rPr>
                <w:rFonts w:ascii="Times New Roman" w:eastAsia="SimSun" w:hint="eastAsia"/>
                <w:sz w:val="13"/>
                <w:szCs w:val="13"/>
              </w:rPr>
              <w:t>analyate</w:t>
            </w:r>
            <w:proofErr w:type="spellEnd"/>
          </w:p>
        </w:tc>
      </w:tr>
      <w:tr w:rsidR="00CF06B7" w14:paraId="3C49C06F" w14:textId="77777777">
        <w:trPr>
          <w:trHeight w:val="57"/>
        </w:trPr>
        <w:tc>
          <w:tcPr>
            <w:tcW w:w="2605" w:type="pct"/>
          </w:tcPr>
          <w:p w14:paraId="6C8EEC5B" w14:textId="77777777" w:rsidR="00CF06B7" w:rsidRDefault="00D84484">
            <w:pPr>
              <w:spacing w:line="180" w:lineRule="exact"/>
              <w:rPr>
                <w:rFonts w:ascii="Times New Roman" w:eastAsia="SimSun"/>
                <w:b/>
                <w:sz w:val="13"/>
                <w:szCs w:val="13"/>
              </w:rPr>
            </w:pPr>
            <w:r>
              <w:rPr>
                <w:rFonts w:ascii="Times New Roman" w:eastAsia="SimSun" w:hint="eastAsia"/>
                <w:b/>
                <w:sz w:val="13"/>
                <w:szCs w:val="13"/>
              </w:rPr>
              <w:t>Blood analytes</w:t>
            </w:r>
          </w:p>
        </w:tc>
        <w:tc>
          <w:tcPr>
            <w:tcW w:w="2395" w:type="pct"/>
          </w:tcPr>
          <w:p w14:paraId="420E5E70" w14:textId="77777777" w:rsidR="00CF06B7" w:rsidRDefault="00CF06B7">
            <w:pPr>
              <w:spacing w:line="180" w:lineRule="exact"/>
              <w:rPr>
                <w:rFonts w:ascii="Times New Roman" w:eastAsia="SimSun"/>
                <w:sz w:val="13"/>
                <w:szCs w:val="13"/>
              </w:rPr>
            </w:pPr>
          </w:p>
        </w:tc>
      </w:tr>
      <w:tr w:rsidR="00CF06B7" w14:paraId="5F5AC869" w14:textId="77777777">
        <w:trPr>
          <w:trHeight w:val="57"/>
        </w:trPr>
        <w:tc>
          <w:tcPr>
            <w:tcW w:w="2605" w:type="pct"/>
          </w:tcPr>
          <w:p w14:paraId="746842AE" w14:textId="77777777" w:rsidR="00CF06B7" w:rsidRDefault="00D84484">
            <w:pPr>
              <w:spacing w:line="180" w:lineRule="exact"/>
              <w:rPr>
                <w:rFonts w:ascii="Times New Roman" w:eastAsia="SimSun"/>
                <w:sz w:val="13"/>
                <w:szCs w:val="13"/>
              </w:rPr>
            </w:pPr>
            <w:r>
              <w:rPr>
                <w:rFonts w:ascii="Times New Roman" w:eastAsia="SimSun" w:hint="eastAsia"/>
                <w:sz w:val="13"/>
                <w:szCs w:val="13"/>
              </w:rPr>
              <w:t>Albumin</w:t>
            </w:r>
          </w:p>
        </w:tc>
        <w:tc>
          <w:tcPr>
            <w:tcW w:w="2395" w:type="pct"/>
          </w:tcPr>
          <w:p w14:paraId="5ED2FDAD" w14:textId="77777777" w:rsidR="00CF06B7" w:rsidRDefault="00D84484">
            <w:pPr>
              <w:spacing w:line="180" w:lineRule="exact"/>
              <w:rPr>
                <w:rFonts w:ascii="Times New Roman" w:eastAsia="SimSun"/>
                <w:sz w:val="13"/>
                <w:szCs w:val="13"/>
              </w:rPr>
            </w:pPr>
            <w:r>
              <w:rPr>
                <w:rFonts w:ascii="Times New Roman" w:eastAsia="SimSun" w:hint="eastAsia"/>
                <w:sz w:val="13"/>
                <w:szCs w:val="13"/>
              </w:rPr>
              <w:t>5 g/dL</w:t>
            </w:r>
          </w:p>
        </w:tc>
      </w:tr>
      <w:tr w:rsidR="00CF06B7" w14:paraId="5AA38CF3" w14:textId="77777777">
        <w:trPr>
          <w:trHeight w:val="57"/>
        </w:trPr>
        <w:tc>
          <w:tcPr>
            <w:tcW w:w="2605" w:type="pct"/>
          </w:tcPr>
          <w:p w14:paraId="38C759EF" w14:textId="77777777" w:rsidR="00CF06B7" w:rsidRDefault="00D84484">
            <w:pPr>
              <w:spacing w:line="180" w:lineRule="exact"/>
              <w:rPr>
                <w:rFonts w:ascii="Times New Roman" w:eastAsia="DengXian"/>
                <w:b/>
                <w:color w:val="000000"/>
                <w:sz w:val="12"/>
                <w:szCs w:val="12"/>
              </w:rPr>
            </w:pPr>
            <w:r>
              <w:rPr>
                <w:rFonts w:ascii="Times New Roman" w:eastAsia="DengXian" w:hint="eastAsia"/>
                <w:b/>
                <w:color w:val="000000"/>
                <w:sz w:val="12"/>
                <w:szCs w:val="12"/>
              </w:rPr>
              <w:t>Anticoagulants</w:t>
            </w:r>
          </w:p>
        </w:tc>
        <w:tc>
          <w:tcPr>
            <w:tcW w:w="2395" w:type="pct"/>
          </w:tcPr>
          <w:p w14:paraId="52D1EDFB" w14:textId="77777777" w:rsidR="00CF06B7" w:rsidRDefault="00CF06B7">
            <w:pPr>
              <w:spacing w:line="180" w:lineRule="exact"/>
              <w:rPr>
                <w:rFonts w:ascii="Times New Roman" w:eastAsia="DengXian"/>
                <w:color w:val="000000"/>
                <w:sz w:val="12"/>
                <w:szCs w:val="12"/>
              </w:rPr>
            </w:pPr>
          </w:p>
        </w:tc>
      </w:tr>
      <w:tr w:rsidR="00CF06B7" w14:paraId="599CE367" w14:textId="77777777">
        <w:trPr>
          <w:trHeight w:val="57"/>
        </w:trPr>
        <w:tc>
          <w:tcPr>
            <w:tcW w:w="2605" w:type="pct"/>
          </w:tcPr>
          <w:p w14:paraId="4F632D27" w14:textId="2A532194"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EDTA</w:t>
            </w:r>
            <w:r w:rsidR="005646E1">
              <w:rPr>
                <w:rFonts w:ascii="Times New Roman" w:eastAsia="DengXian"/>
                <w:color w:val="000000"/>
                <w:sz w:val="12"/>
                <w:szCs w:val="12"/>
              </w:rPr>
              <w:t xml:space="preserve"> (sodium salt) </w:t>
            </w:r>
          </w:p>
        </w:tc>
        <w:tc>
          <w:tcPr>
            <w:tcW w:w="2395" w:type="pct"/>
          </w:tcPr>
          <w:p w14:paraId="2AC81A12"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 xml:space="preserve">3.4 µmol/L </w:t>
            </w:r>
          </w:p>
        </w:tc>
      </w:tr>
      <w:tr w:rsidR="00CF06B7" w14:paraId="2D0BD4AA" w14:textId="77777777">
        <w:trPr>
          <w:trHeight w:val="57"/>
        </w:trPr>
        <w:tc>
          <w:tcPr>
            <w:tcW w:w="2605" w:type="pct"/>
          </w:tcPr>
          <w:p w14:paraId="2EF03669" w14:textId="77777777" w:rsidR="00CF06B7" w:rsidRDefault="00D84484">
            <w:pPr>
              <w:spacing w:line="180" w:lineRule="exact"/>
              <w:rPr>
                <w:rFonts w:ascii="Times New Roman" w:eastAsia="DengXian"/>
                <w:b/>
                <w:color w:val="000000"/>
                <w:sz w:val="12"/>
                <w:szCs w:val="12"/>
              </w:rPr>
            </w:pPr>
            <w:r>
              <w:rPr>
                <w:rFonts w:ascii="Times New Roman" w:eastAsia="DengXian" w:hint="eastAsia"/>
                <w:b/>
                <w:color w:val="000000"/>
                <w:sz w:val="12"/>
                <w:szCs w:val="12"/>
              </w:rPr>
              <w:t>Abnormal blood sample</w:t>
            </w:r>
          </w:p>
        </w:tc>
        <w:tc>
          <w:tcPr>
            <w:tcW w:w="2395" w:type="pct"/>
          </w:tcPr>
          <w:p w14:paraId="506425D2" w14:textId="77777777" w:rsidR="00CF06B7" w:rsidRDefault="00CF06B7">
            <w:pPr>
              <w:spacing w:line="180" w:lineRule="exact"/>
              <w:rPr>
                <w:rFonts w:ascii="Times New Roman" w:eastAsia="DengXian"/>
                <w:color w:val="000000"/>
                <w:sz w:val="12"/>
                <w:szCs w:val="12"/>
              </w:rPr>
            </w:pPr>
          </w:p>
        </w:tc>
      </w:tr>
      <w:tr w:rsidR="00CF06B7" w14:paraId="4BCE22B1" w14:textId="77777777">
        <w:trPr>
          <w:trHeight w:val="57"/>
        </w:trPr>
        <w:tc>
          <w:tcPr>
            <w:tcW w:w="2605" w:type="pct"/>
          </w:tcPr>
          <w:p w14:paraId="39EA3C66"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V</w:t>
            </w:r>
            <w:r>
              <w:rPr>
                <w:rFonts w:ascii="Times New Roman" w:eastAsia="DengXian" w:hint="eastAsia"/>
                <w:color w:val="000000"/>
                <w:sz w:val="12"/>
                <w:szCs w:val="12"/>
              </w:rPr>
              <w:t>isual hemolysis</w:t>
            </w:r>
            <w:r>
              <w:rPr>
                <w:rFonts w:ascii="Times New Roman" w:eastAsia="DengXian"/>
                <w:color w:val="000000"/>
                <w:sz w:val="12"/>
                <w:szCs w:val="12"/>
              </w:rPr>
              <w:t xml:space="preserve"> (</w:t>
            </w:r>
            <w:r>
              <w:rPr>
                <w:rFonts w:ascii="Times New Roman" w:eastAsia="DengXian" w:hint="eastAsia"/>
                <w:color w:val="000000"/>
                <w:sz w:val="12"/>
                <w:szCs w:val="12"/>
              </w:rPr>
              <w:t>Hemoglobin</w:t>
            </w:r>
            <w:r>
              <w:rPr>
                <w:rFonts w:ascii="Times New Roman" w:eastAsia="DengXian"/>
                <w:color w:val="000000"/>
                <w:sz w:val="12"/>
                <w:szCs w:val="12"/>
              </w:rPr>
              <w:t>)</w:t>
            </w:r>
          </w:p>
        </w:tc>
        <w:tc>
          <w:tcPr>
            <w:tcW w:w="2395" w:type="pct"/>
          </w:tcPr>
          <w:p w14:paraId="6A1BE932"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20 g/dL</w:t>
            </w:r>
          </w:p>
        </w:tc>
      </w:tr>
      <w:tr w:rsidR="00CF06B7" w14:paraId="4DA08A9C" w14:textId="77777777">
        <w:trPr>
          <w:trHeight w:val="57"/>
        </w:trPr>
        <w:tc>
          <w:tcPr>
            <w:tcW w:w="2605" w:type="pct"/>
          </w:tcPr>
          <w:p w14:paraId="3E15BFFC"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Icteric</w:t>
            </w:r>
            <w:r>
              <w:rPr>
                <w:rFonts w:ascii="Times New Roman" w:eastAsia="DengXian"/>
                <w:color w:val="000000"/>
                <w:sz w:val="12"/>
                <w:szCs w:val="12"/>
              </w:rPr>
              <w:t xml:space="preserve"> (Bilirubin)</w:t>
            </w:r>
          </w:p>
        </w:tc>
        <w:tc>
          <w:tcPr>
            <w:tcW w:w="2395" w:type="pct"/>
          </w:tcPr>
          <w:p w14:paraId="6372FEA9" w14:textId="77777777" w:rsidR="00CF06B7" w:rsidRDefault="00D84484">
            <w:pPr>
              <w:spacing w:line="180" w:lineRule="exact"/>
              <w:rPr>
                <w:rFonts w:ascii="Times New Roman" w:eastAsia="DengXian"/>
                <w:color w:val="000000"/>
                <w:sz w:val="12"/>
                <w:szCs w:val="12"/>
              </w:rPr>
            </w:pPr>
            <w:r>
              <w:rPr>
                <w:rFonts w:ascii="Times New Roman" w:eastAsia="SimSun" w:hint="eastAsia"/>
                <w:sz w:val="13"/>
                <w:szCs w:val="13"/>
              </w:rPr>
              <w:t>5 mg/dL</w:t>
            </w:r>
          </w:p>
        </w:tc>
      </w:tr>
      <w:tr w:rsidR="00CF06B7" w14:paraId="03CC1B0A" w14:textId="77777777">
        <w:trPr>
          <w:trHeight w:val="57"/>
        </w:trPr>
        <w:tc>
          <w:tcPr>
            <w:tcW w:w="2605" w:type="pct"/>
          </w:tcPr>
          <w:p w14:paraId="22F26E1F"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Lipemic</w:t>
            </w:r>
            <w:r>
              <w:rPr>
                <w:rFonts w:ascii="Times New Roman" w:eastAsia="DengXian"/>
                <w:color w:val="000000"/>
                <w:sz w:val="12"/>
                <w:szCs w:val="12"/>
              </w:rPr>
              <w:t xml:space="preserve"> (</w:t>
            </w:r>
            <w:r>
              <w:rPr>
                <w:rFonts w:ascii="Times New Roman" w:eastAsia="DengXian" w:hint="eastAsia"/>
                <w:color w:val="000000"/>
                <w:sz w:val="12"/>
                <w:szCs w:val="12"/>
              </w:rPr>
              <w:t>Triglycerides</w:t>
            </w:r>
            <w:r>
              <w:rPr>
                <w:rFonts w:ascii="Times New Roman" w:eastAsia="DengXian"/>
                <w:color w:val="000000"/>
                <w:sz w:val="12"/>
                <w:szCs w:val="12"/>
              </w:rPr>
              <w:t>)</w:t>
            </w:r>
          </w:p>
        </w:tc>
        <w:tc>
          <w:tcPr>
            <w:tcW w:w="2395" w:type="pct"/>
          </w:tcPr>
          <w:p w14:paraId="497760DF"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500 mg/dL</w:t>
            </w:r>
          </w:p>
        </w:tc>
      </w:tr>
      <w:tr w:rsidR="00CF06B7" w14:paraId="4D95394C" w14:textId="77777777">
        <w:trPr>
          <w:trHeight w:val="57"/>
        </w:trPr>
        <w:tc>
          <w:tcPr>
            <w:tcW w:w="2605" w:type="pct"/>
          </w:tcPr>
          <w:p w14:paraId="483601CF" w14:textId="77777777" w:rsidR="00CF06B7" w:rsidRDefault="00D84484">
            <w:pPr>
              <w:spacing w:line="180" w:lineRule="exact"/>
              <w:rPr>
                <w:rFonts w:ascii="Times New Roman" w:eastAsia="DengXian"/>
                <w:b/>
                <w:color w:val="000000"/>
                <w:sz w:val="12"/>
                <w:szCs w:val="12"/>
              </w:rPr>
            </w:pPr>
            <w:r>
              <w:rPr>
                <w:rFonts w:ascii="Times New Roman" w:eastAsia="DengXian" w:hint="eastAsia"/>
                <w:b/>
                <w:color w:val="000000"/>
                <w:sz w:val="12"/>
                <w:szCs w:val="12"/>
              </w:rPr>
              <w:t>Common medicines</w:t>
            </w:r>
          </w:p>
        </w:tc>
        <w:tc>
          <w:tcPr>
            <w:tcW w:w="2395" w:type="pct"/>
          </w:tcPr>
          <w:p w14:paraId="5AF03E5C" w14:textId="77777777" w:rsidR="00CF06B7" w:rsidRDefault="00CF06B7">
            <w:pPr>
              <w:spacing w:line="180" w:lineRule="exact"/>
              <w:rPr>
                <w:rFonts w:ascii="Times New Roman" w:eastAsia="DengXian"/>
                <w:color w:val="000000"/>
                <w:sz w:val="12"/>
                <w:szCs w:val="12"/>
              </w:rPr>
            </w:pPr>
          </w:p>
        </w:tc>
      </w:tr>
      <w:tr w:rsidR="00CF06B7" w14:paraId="4A576D60" w14:textId="77777777">
        <w:trPr>
          <w:trHeight w:val="57"/>
        </w:trPr>
        <w:tc>
          <w:tcPr>
            <w:tcW w:w="2605" w:type="pct"/>
          </w:tcPr>
          <w:p w14:paraId="70C3E555"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A</w:t>
            </w:r>
            <w:r>
              <w:rPr>
                <w:rFonts w:ascii="Times New Roman" w:eastAsia="DengXian" w:hint="eastAsia"/>
                <w:color w:val="000000"/>
                <w:sz w:val="12"/>
                <w:szCs w:val="12"/>
              </w:rPr>
              <w:t>cetylsalicylic acid</w:t>
            </w:r>
          </w:p>
        </w:tc>
        <w:tc>
          <w:tcPr>
            <w:tcW w:w="2395" w:type="pct"/>
          </w:tcPr>
          <w:p w14:paraId="2641EE15"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3.62 mmol/L</w:t>
            </w:r>
          </w:p>
        </w:tc>
      </w:tr>
      <w:tr w:rsidR="00CF06B7" w14:paraId="2B5E710C" w14:textId="77777777">
        <w:trPr>
          <w:trHeight w:val="57"/>
        </w:trPr>
        <w:tc>
          <w:tcPr>
            <w:tcW w:w="2605" w:type="pct"/>
          </w:tcPr>
          <w:p w14:paraId="170BDC3C"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Ascorbic acid (Vitamin C)</w:t>
            </w:r>
          </w:p>
        </w:tc>
        <w:tc>
          <w:tcPr>
            <w:tcW w:w="2395" w:type="pct"/>
          </w:tcPr>
          <w:p w14:paraId="3D0CB3E7"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342 µmol/L</w:t>
            </w:r>
          </w:p>
        </w:tc>
      </w:tr>
      <w:tr w:rsidR="00CF06B7" w14:paraId="3865F049" w14:textId="77777777">
        <w:trPr>
          <w:trHeight w:val="57"/>
        </w:trPr>
        <w:tc>
          <w:tcPr>
            <w:tcW w:w="2605" w:type="pct"/>
          </w:tcPr>
          <w:p w14:paraId="6123A1D0"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Amoxicillin</w:t>
            </w:r>
          </w:p>
        </w:tc>
        <w:tc>
          <w:tcPr>
            <w:tcW w:w="2395" w:type="pct"/>
          </w:tcPr>
          <w:p w14:paraId="2F039B34"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206 µmol/L</w:t>
            </w:r>
          </w:p>
        </w:tc>
      </w:tr>
      <w:tr w:rsidR="00CF06B7" w14:paraId="25FFACED" w14:textId="77777777">
        <w:trPr>
          <w:trHeight w:val="57"/>
        </w:trPr>
        <w:tc>
          <w:tcPr>
            <w:tcW w:w="2605" w:type="pct"/>
          </w:tcPr>
          <w:p w14:paraId="39BFE48E"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F</w:t>
            </w:r>
            <w:r>
              <w:rPr>
                <w:rFonts w:ascii="Times New Roman" w:eastAsia="DengXian" w:hint="eastAsia"/>
                <w:color w:val="000000"/>
                <w:sz w:val="12"/>
                <w:szCs w:val="12"/>
              </w:rPr>
              <w:t>luconazole</w:t>
            </w:r>
          </w:p>
        </w:tc>
        <w:tc>
          <w:tcPr>
            <w:tcW w:w="2395" w:type="pct"/>
          </w:tcPr>
          <w:p w14:paraId="11AFF2BB"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245 µmol/L</w:t>
            </w:r>
          </w:p>
        </w:tc>
      </w:tr>
      <w:tr w:rsidR="00CF06B7" w14:paraId="0A3C3E68" w14:textId="77777777">
        <w:trPr>
          <w:trHeight w:val="57"/>
        </w:trPr>
        <w:tc>
          <w:tcPr>
            <w:tcW w:w="2605" w:type="pct"/>
          </w:tcPr>
          <w:p w14:paraId="5C99D464"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Ibuprofen</w:t>
            </w:r>
          </w:p>
        </w:tc>
        <w:tc>
          <w:tcPr>
            <w:tcW w:w="2395" w:type="pct"/>
          </w:tcPr>
          <w:p w14:paraId="1475E76F"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2425 µmol/L</w:t>
            </w:r>
          </w:p>
        </w:tc>
      </w:tr>
      <w:tr w:rsidR="00CF06B7" w14:paraId="3767A11E" w14:textId="77777777">
        <w:trPr>
          <w:trHeight w:val="57"/>
        </w:trPr>
        <w:tc>
          <w:tcPr>
            <w:tcW w:w="2605" w:type="pct"/>
          </w:tcPr>
          <w:p w14:paraId="4432CE48"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Loratadine</w:t>
            </w:r>
          </w:p>
        </w:tc>
        <w:tc>
          <w:tcPr>
            <w:tcW w:w="2395" w:type="pct"/>
          </w:tcPr>
          <w:p w14:paraId="6C208A54"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0.78 µmol/L</w:t>
            </w:r>
          </w:p>
        </w:tc>
      </w:tr>
      <w:tr w:rsidR="00CF06B7" w14:paraId="4444E753" w14:textId="77777777">
        <w:trPr>
          <w:trHeight w:val="57"/>
        </w:trPr>
        <w:tc>
          <w:tcPr>
            <w:tcW w:w="2605" w:type="pct"/>
          </w:tcPr>
          <w:p w14:paraId="1D9CC541"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N</w:t>
            </w:r>
            <w:r>
              <w:rPr>
                <w:rFonts w:ascii="Times New Roman" w:eastAsia="DengXian" w:hint="eastAsia"/>
                <w:color w:val="000000"/>
                <w:sz w:val="12"/>
                <w:szCs w:val="12"/>
              </w:rPr>
              <w:t>adolol</w:t>
            </w:r>
          </w:p>
        </w:tc>
        <w:tc>
          <w:tcPr>
            <w:tcW w:w="2395" w:type="pct"/>
          </w:tcPr>
          <w:p w14:paraId="224821C9"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3.88 µmol/L</w:t>
            </w:r>
          </w:p>
        </w:tc>
      </w:tr>
      <w:tr w:rsidR="00CF06B7" w14:paraId="00192191" w14:textId="77777777">
        <w:trPr>
          <w:trHeight w:val="57"/>
        </w:trPr>
        <w:tc>
          <w:tcPr>
            <w:tcW w:w="2605" w:type="pct"/>
          </w:tcPr>
          <w:p w14:paraId="226B23AF"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N</w:t>
            </w:r>
            <w:r>
              <w:rPr>
                <w:rFonts w:ascii="Times New Roman" w:eastAsia="DengXian" w:hint="eastAsia"/>
                <w:color w:val="000000"/>
                <w:sz w:val="12"/>
                <w:szCs w:val="12"/>
              </w:rPr>
              <w:t>aproxen</w:t>
            </w:r>
          </w:p>
        </w:tc>
        <w:tc>
          <w:tcPr>
            <w:tcW w:w="2395" w:type="pct"/>
          </w:tcPr>
          <w:p w14:paraId="0344C3D3"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2170 µmol/L</w:t>
            </w:r>
          </w:p>
        </w:tc>
      </w:tr>
      <w:tr w:rsidR="00CF06B7" w14:paraId="27566DC4" w14:textId="77777777">
        <w:trPr>
          <w:trHeight w:val="57"/>
        </w:trPr>
        <w:tc>
          <w:tcPr>
            <w:tcW w:w="2605" w:type="pct"/>
          </w:tcPr>
          <w:p w14:paraId="5F2955B9" w14:textId="77777777" w:rsidR="00CF06B7" w:rsidRDefault="00D84484">
            <w:pPr>
              <w:spacing w:line="180" w:lineRule="exact"/>
              <w:rPr>
                <w:rFonts w:ascii="Times New Roman" w:eastAsia="DengXian"/>
                <w:color w:val="000000"/>
                <w:sz w:val="12"/>
                <w:szCs w:val="12"/>
              </w:rPr>
            </w:pPr>
            <w:r>
              <w:rPr>
                <w:rFonts w:ascii="Times New Roman" w:eastAsia="DengXian"/>
                <w:color w:val="000000"/>
                <w:sz w:val="12"/>
                <w:szCs w:val="12"/>
              </w:rPr>
              <w:t>Paroxetine</w:t>
            </w:r>
          </w:p>
        </w:tc>
        <w:tc>
          <w:tcPr>
            <w:tcW w:w="2395" w:type="pct"/>
          </w:tcPr>
          <w:p w14:paraId="4FCA84D3"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3.04 µmol/L</w:t>
            </w:r>
          </w:p>
        </w:tc>
      </w:tr>
      <w:tr w:rsidR="00CF06B7" w14:paraId="2B8B1D82" w14:textId="77777777">
        <w:trPr>
          <w:trHeight w:val="57"/>
        </w:trPr>
        <w:tc>
          <w:tcPr>
            <w:tcW w:w="2605" w:type="pct"/>
          </w:tcPr>
          <w:p w14:paraId="39BDCD3F" w14:textId="77777777" w:rsidR="00CF06B7" w:rsidRDefault="00D84484">
            <w:pPr>
              <w:spacing w:line="180" w:lineRule="exact"/>
              <w:rPr>
                <w:rFonts w:ascii="Times New Roman" w:eastAsia="DengXian"/>
                <w:b/>
                <w:color w:val="000000"/>
                <w:sz w:val="12"/>
                <w:szCs w:val="12"/>
              </w:rPr>
            </w:pPr>
            <w:r>
              <w:rPr>
                <w:rFonts w:ascii="Times New Roman" w:eastAsia="DengXian"/>
                <w:b/>
                <w:color w:val="000000"/>
                <w:sz w:val="12"/>
                <w:szCs w:val="12"/>
              </w:rPr>
              <w:t>A</w:t>
            </w:r>
            <w:r>
              <w:rPr>
                <w:rFonts w:ascii="Times New Roman" w:eastAsia="DengXian" w:hint="eastAsia"/>
                <w:b/>
                <w:color w:val="000000"/>
                <w:sz w:val="12"/>
                <w:szCs w:val="12"/>
              </w:rPr>
              <w:t>nti-malarial medicines</w:t>
            </w:r>
          </w:p>
        </w:tc>
        <w:tc>
          <w:tcPr>
            <w:tcW w:w="2395" w:type="pct"/>
          </w:tcPr>
          <w:p w14:paraId="4177C9F2" w14:textId="77777777" w:rsidR="00CF06B7" w:rsidRDefault="00CF06B7">
            <w:pPr>
              <w:spacing w:line="180" w:lineRule="exact"/>
              <w:rPr>
                <w:rFonts w:ascii="Times New Roman" w:eastAsia="DengXian"/>
                <w:color w:val="000000"/>
                <w:sz w:val="12"/>
                <w:szCs w:val="12"/>
              </w:rPr>
            </w:pPr>
          </w:p>
        </w:tc>
      </w:tr>
      <w:tr w:rsidR="00CF06B7" w14:paraId="2D40C32D" w14:textId="77777777">
        <w:trPr>
          <w:trHeight w:val="57"/>
        </w:trPr>
        <w:tc>
          <w:tcPr>
            <w:tcW w:w="2605" w:type="pct"/>
          </w:tcPr>
          <w:p w14:paraId="12F7E0D7"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Quinine</w:t>
            </w:r>
          </w:p>
        </w:tc>
        <w:tc>
          <w:tcPr>
            <w:tcW w:w="2395" w:type="pct"/>
          </w:tcPr>
          <w:p w14:paraId="4A795F10"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148 µmol/L</w:t>
            </w:r>
          </w:p>
        </w:tc>
      </w:tr>
      <w:tr w:rsidR="00CF06B7" w14:paraId="2B3EB248" w14:textId="77777777">
        <w:trPr>
          <w:trHeight w:val="57"/>
        </w:trPr>
        <w:tc>
          <w:tcPr>
            <w:tcW w:w="2605" w:type="pct"/>
          </w:tcPr>
          <w:p w14:paraId="288C7170" w14:textId="77777777" w:rsidR="00CF06B7" w:rsidRDefault="00D84484">
            <w:pPr>
              <w:spacing w:line="180" w:lineRule="exact"/>
              <w:rPr>
                <w:rFonts w:ascii="Times New Roman" w:eastAsia="DengXian"/>
                <w:b/>
                <w:color w:val="000000"/>
                <w:sz w:val="12"/>
                <w:szCs w:val="12"/>
              </w:rPr>
            </w:pPr>
            <w:r>
              <w:rPr>
                <w:rFonts w:ascii="Times New Roman" w:eastAsia="DengXian" w:hint="eastAsia"/>
                <w:b/>
                <w:color w:val="000000"/>
                <w:sz w:val="12"/>
                <w:szCs w:val="12"/>
              </w:rPr>
              <w:t>Anti-tuberculosis medicines</w:t>
            </w:r>
          </w:p>
        </w:tc>
        <w:tc>
          <w:tcPr>
            <w:tcW w:w="2395" w:type="pct"/>
          </w:tcPr>
          <w:p w14:paraId="2EE8923B" w14:textId="77777777" w:rsidR="00CF06B7" w:rsidRDefault="00CF06B7">
            <w:pPr>
              <w:spacing w:line="180" w:lineRule="exact"/>
              <w:rPr>
                <w:rFonts w:ascii="Times New Roman" w:eastAsia="DengXian"/>
                <w:color w:val="000000"/>
                <w:sz w:val="12"/>
                <w:szCs w:val="12"/>
              </w:rPr>
            </w:pPr>
          </w:p>
        </w:tc>
      </w:tr>
      <w:tr w:rsidR="00CF06B7" w14:paraId="47A1FBA3" w14:textId="77777777">
        <w:trPr>
          <w:trHeight w:val="57"/>
        </w:trPr>
        <w:tc>
          <w:tcPr>
            <w:tcW w:w="2605" w:type="pct"/>
          </w:tcPr>
          <w:p w14:paraId="1F4A4D9F"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Rifampicin</w:t>
            </w:r>
          </w:p>
        </w:tc>
        <w:tc>
          <w:tcPr>
            <w:tcW w:w="2395" w:type="pct"/>
          </w:tcPr>
          <w:p w14:paraId="0090A1F6"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78.1 µmol/L</w:t>
            </w:r>
          </w:p>
        </w:tc>
      </w:tr>
      <w:tr w:rsidR="00CF06B7" w14:paraId="4077EBC3" w14:textId="77777777">
        <w:trPr>
          <w:trHeight w:val="57"/>
        </w:trPr>
        <w:tc>
          <w:tcPr>
            <w:tcW w:w="2605" w:type="pct"/>
          </w:tcPr>
          <w:p w14:paraId="2C3F6892"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Isoniazid</w:t>
            </w:r>
          </w:p>
        </w:tc>
        <w:tc>
          <w:tcPr>
            <w:tcW w:w="2395" w:type="pct"/>
          </w:tcPr>
          <w:p w14:paraId="179B6B81"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292 µmol/L</w:t>
            </w:r>
          </w:p>
        </w:tc>
      </w:tr>
      <w:tr w:rsidR="00CF06B7" w14:paraId="488C3443" w14:textId="77777777">
        <w:trPr>
          <w:trHeight w:val="57"/>
        </w:trPr>
        <w:tc>
          <w:tcPr>
            <w:tcW w:w="2605" w:type="pct"/>
          </w:tcPr>
          <w:p w14:paraId="539C5EA5"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Ethambutol</w:t>
            </w:r>
          </w:p>
        </w:tc>
        <w:tc>
          <w:tcPr>
            <w:tcW w:w="2395" w:type="pct"/>
          </w:tcPr>
          <w:p w14:paraId="30E7D2BC"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58.7 µmol/L</w:t>
            </w:r>
          </w:p>
        </w:tc>
      </w:tr>
      <w:tr w:rsidR="00CF06B7" w14:paraId="457A98DB" w14:textId="77777777">
        <w:trPr>
          <w:trHeight w:val="57"/>
        </w:trPr>
        <w:tc>
          <w:tcPr>
            <w:tcW w:w="2605" w:type="pct"/>
          </w:tcPr>
          <w:p w14:paraId="45BDD07F" w14:textId="77777777" w:rsidR="00CF06B7" w:rsidRDefault="00D84484">
            <w:pPr>
              <w:spacing w:line="180" w:lineRule="exact"/>
              <w:rPr>
                <w:rFonts w:ascii="Times New Roman" w:eastAsia="DengXian"/>
                <w:b/>
                <w:color w:val="000000"/>
                <w:sz w:val="12"/>
                <w:szCs w:val="12"/>
              </w:rPr>
            </w:pPr>
            <w:r>
              <w:rPr>
                <w:rFonts w:ascii="Times New Roman" w:eastAsia="DengXian" w:hint="eastAsia"/>
                <w:b/>
                <w:color w:val="000000"/>
                <w:sz w:val="12"/>
                <w:szCs w:val="12"/>
              </w:rPr>
              <w:t>Common consumables</w:t>
            </w:r>
          </w:p>
        </w:tc>
        <w:tc>
          <w:tcPr>
            <w:tcW w:w="2395" w:type="pct"/>
          </w:tcPr>
          <w:p w14:paraId="1DF47008" w14:textId="77777777" w:rsidR="00CF06B7" w:rsidRDefault="00CF06B7">
            <w:pPr>
              <w:spacing w:line="180" w:lineRule="exact"/>
              <w:rPr>
                <w:rFonts w:ascii="Times New Roman" w:eastAsia="DengXian"/>
                <w:color w:val="000000"/>
                <w:sz w:val="12"/>
                <w:szCs w:val="12"/>
              </w:rPr>
            </w:pPr>
          </w:p>
        </w:tc>
      </w:tr>
      <w:tr w:rsidR="00CF06B7" w14:paraId="6EAB1234" w14:textId="77777777">
        <w:trPr>
          <w:trHeight w:val="57"/>
        </w:trPr>
        <w:tc>
          <w:tcPr>
            <w:tcW w:w="2605" w:type="pct"/>
          </w:tcPr>
          <w:p w14:paraId="0B46DB02"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Coffee (caffeine)</w:t>
            </w:r>
          </w:p>
        </w:tc>
        <w:tc>
          <w:tcPr>
            <w:tcW w:w="2395" w:type="pct"/>
          </w:tcPr>
          <w:p w14:paraId="384CA036"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308 µmol/L</w:t>
            </w:r>
          </w:p>
        </w:tc>
      </w:tr>
      <w:tr w:rsidR="00CF06B7" w14:paraId="25921CEA" w14:textId="77777777">
        <w:trPr>
          <w:trHeight w:val="57"/>
        </w:trPr>
        <w:tc>
          <w:tcPr>
            <w:tcW w:w="2605" w:type="pct"/>
          </w:tcPr>
          <w:p w14:paraId="33E645E2"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Alcohol (ethanol)</w:t>
            </w:r>
          </w:p>
        </w:tc>
        <w:tc>
          <w:tcPr>
            <w:tcW w:w="2395" w:type="pct"/>
          </w:tcPr>
          <w:p w14:paraId="2413C5A5" w14:textId="77777777" w:rsidR="00CF06B7" w:rsidRDefault="00D84484">
            <w:pPr>
              <w:spacing w:line="180" w:lineRule="exact"/>
              <w:rPr>
                <w:rFonts w:ascii="Times New Roman" w:eastAsia="DengXian"/>
                <w:color w:val="000000"/>
                <w:sz w:val="12"/>
                <w:szCs w:val="12"/>
              </w:rPr>
            </w:pPr>
            <w:r>
              <w:rPr>
                <w:rFonts w:ascii="Times New Roman" w:eastAsia="DengXian" w:hint="eastAsia"/>
                <w:color w:val="000000"/>
                <w:sz w:val="12"/>
                <w:szCs w:val="12"/>
              </w:rPr>
              <w:t>86.8 mmol/L</w:t>
            </w:r>
          </w:p>
        </w:tc>
      </w:tr>
    </w:tbl>
    <w:p w14:paraId="716C0BE8" w14:textId="77777777" w:rsidR="00CF06B7" w:rsidRDefault="00CF06B7">
      <w:pPr>
        <w:spacing w:line="140" w:lineRule="exact"/>
        <w:ind w:firstLineChars="100" w:firstLine="120"/>
        <w:rPr>
          <w:rFonts w:ascii="Times New Roman" w:eastAsia="DengXian"/>
          <w:b/>
          <w:sz w:val="12"/>
          <w:szCs w:val="12"/>
        </w:rPr>
      </w:pPr>
    </w:p>
    <w:p w14:paraId="5911A762" w14:textId="77777777" w:rsidR="00CF06B7" w:rsidRDefault="00D84484">
      <w:pPr>
        <w:pStyle w:val="Heading3"/>
        <w:spacing w:line="140" w:lineRule="exact"/>
        <w:rPr>
          <w:rFonts w:eastAsia="SimSun"/>
          <w:color w:val="auto"/>
        </w:rPr>
      </w:pPr>
      <w:r>
        <w:rPr>
          <w:rFonts w:eastAsia="SimSun"/>
          <w:color w:val="auto"/>
        </w:rPr>
        <w:t>LITERATURE REFERENCES</w:t>
      </w:r>
    </w:p>
    <w:p w14:paraId="154F4E38" w14:textId="77777777" w:rsidR="00CF06B7" w:rsidRDefault="00CF06B7">
      <w:pPr>
        <w:overflowPunct w:val="0"/>
        <w:autoSpaceDE w:val="0"/>
        <w:autoSpaceDN w:val="0"/>
        <w:adjustRightInd w:val="0"/>
        <w:spacing w:line="140" w:lineRule="exact"/>
        <w:textAlignment w:val="baseline"/>
        <w:rPr>
          <w:rFonts w:ascii="Times New Roman" w:eastAsia="SimSun"/>
          <w:sz w:val="12"/>
          <w:szCs w:val="12"/>
        </w:rPr>
      </w:pPr>
    </w:p>
    <w:p w14:paraId="1E78783D" w14:textId="77777777" w:rsidR="00CF06B7" w:rsidRDefault="00D84484">
      <w:pPr>
        <w:pStyle w:val="ListParagraph"/>
        <w:numPr>
          <w:ilvl w:val="0"/>
          <w:numId w:val="10"/>
        </w:numPr>
        <w:overflowPunct w:val="0"/>
        <w:autoSpaceDE w:val="0"/>
        <w:autoSpaceDN w:val="0"/>
        <w:adjustRightInd w:val="0"/>
        <w:spacing w:line="140" w:lineRule="exact"/>
        <w:ind w:firstLineChars="0"/>
        <w:textAlignment w:val="baseline"/>
        <w:rPr>
          <w:rFonts w:ascii="Times New Roman" w:eastAsia="SimSun"/>
          <w:sz w:val="12"/>
          <w:szCs w:val="12"/>
        </w:rPr>
      </w:pPr>
      <w:r>
        <w:rPr>
          <w:rFonts w:ascii="Times New Roman" w:eastAsia="SimSun"/>
          <w:sz w:val="12"/>
          <w:szCs w:val="12"/>
        </w:rPr>
        <w:t>Masters, P. S. &amp; Perlman, S. in Fields Virology Vol. 2 (eds Knipe, D. M. &amp; Howley, P. M.) 825–858 (Lippincott Williams &amp; Wilkins, 2013).</w:t>
      </w:r>
    </w:p>
    <w:p w14:paraId="0EA970FD" w14:textId="77777777" w:rsidR="00CF06B7" w:rsidRDefault="00D84484">
      <w:pPr>
        <w:pStyle w:val="ListParagraph"/>
        <w:numPr>
          <w:ilvl w:val="0"/>
          <w:numId w:val="10"/>
        </w:numPr>
        <w:overflowPunct w:val="0"/>
        <w:autoSpaceDE w:val="0"/>
        <w:autoSpaceDN w:val="0"/>
        <w:adjustRightInd w:val="0"/>
        <w:spacing w:line="140" w:lineRule="exact"/>
        <w:ind w:firstLineChars="0"/>
        <w:textAlignment w:val="baseline"/>
        <w:rPr>
          <w:rFonts w:ascii="Times New Roman" w:eastAsia="SimSun"/>
          <w:sz w:val="12"/>
          <w:szCs w:val="12"/>
        </w:rPr>
      </w:pPr>
      <w:proofErr w:type="spellStart"/>
      <w:r>
        <w:rPr>
          <w:rFonts w:ascii="Times New Roman" w:eastAsia="SimSun"/>
          <w:sz w:val="12"/>
          <w:szCs w:val="12"/>
        </w:rPr>
        <w:t>Su</w:t>
      </w:r>
      <w:proofErr w:type="spellEnd"/>
      <w:r>
        <w:rPr>
          <w:rFonts w:ascii="Times New Roman" w:eastAsia="SimSun"/>
          <w:sz w:val="12"/>
          <w:szCs w:val="12"/>
        </w:rPr>
        <w:t>, S. et al. Epidemiology, genetic recombination, and pathogenesis of coronaviruses. Trends Microbiol. 24, 490–502 (2016).</w:t>
      </w:r>
    </w:p>
    <w:p w14:paraId="15604F90" w14:textId="77777777" w:rsidR="00CF06B7" w:rsidRDefault="00D84484">
      <w:pPr>
        <w:pStyle w:val="ListParagraph"/>
        <w:numPr>
          <w:ilvl w:val="0"/>
          <w:numId w:val="10"/>
        </w:numPr>
        <w:overflowPunct w:val="0"/>
        <w:autoSpaceDE w:val="0"/>
        <w:autoSpaceDN w:val="0"/>
        <w:adjustRightInd w:val="0"/>
        <w:spacing w:line="140" w:lineRule="exact"/>
        <w:ind w:firstLineChars="0"/>
        <w:textAlignment w:val="baseline"/>
        <w:rPr>
          <w:rFonts w:ascii="Times New Roman" w:eastAsia="SimSun"/>
          <w:sz w:val="12"/>
          <w:szCs w:val="12"/>
        </w:rPr>
      </w:pPr>
      <w:proofErr w:type="spellStart"/>
      <w:r>
        <w:rPr>
          <w:rFonts w:ascii="Times New Roman" w:eastAsia="SimSun"/>
          <w:sz w:val="12"/>
          <w:szCs w:val="12"/>
        </w:rPr>
        <w:t>Forni</w:t>
      </w:r>
      <w:proofErr w:type="spellEnd"/>
      <w:r>
        <w:rPr>
          <w:rFonts w:ascii="Times New Roman" w:eastAsia="SimSun"/>
          <w:sz w:val="12"/>
          <w:szCs w:val="12"/>
        </w:rPr>
        <w:t xml:space="preserve">, D., </w:t>
      </w:r>
      <w:proofErr w:type="spellStart"/>
      <w:r>
        <w:rPr>
          <w:rFonts w:ascii="Times New Roman" w:eastAsia="SimSun"/>
          <w:sz w:val="12"/>
          <w:szCs w:val="12"/>
        </w:rPr>
        <w:t>Cagliani</w:t>
      </w:r>
      <w:proofErr w:type="spellEnd"/>
      <w:r>
        <w:rPr>
          <w:rFonts w:ascii="Times New Roman" w:eastAsia="SimSun"/>
          <w:sz w:val="12"/>
          <w:szCs w:val="12"/>
        </w:rPr>
        <w:t xml:space="preserve">, R., </w:t>
      </w:r>
      <w:proofErr w:type="spellStart"/>
      <w:r>
        <w:rPr>
          <w:rFonts w:ascii="Times New Roman" w:eastAsia="SimSun"/>
          <w:sz w:val="12"/>
          <w:szCs w:val="12"/>
        </w:rPr>
        <w:t>Clerici</w:t>
      </w:r>
      <w:proofErr w:type="spellEnd"/>
      <w:r>
        <w:rPr>
          <w:rFonts w:ascii="Times New Roman" w:eastAsia="SimSun"/>
          <w:sz w:val="12"/>
          <w:szCs w:val="12"/>
        </w:rPr>
        <w:t xml:space="preserve">, M. &amp; </w:t>
      </w:r>
      <w:proofErr w:type="spellStart"/>
      <w:r>
        <w:rPr>
          <w:rFonts w:ascii="Times New Roman" w:eastAsia="SimSun"/>
          <w:sz w:val="12"/>
          <w:szCs w:val="12"/>
        </w:rPr>
        <w:t>Sironi</w:t>
      </w:r>
      <w:proofErr w:type="spellEnd"/>
      <w:r>
        <w:rPr>
          <w:rFonts w:ascii="Times New Roman" w:eastAsia="SimSun"/>
          <w:sz w:val="12"/>
          <w:szCs w:val="12"/>
        </w:rPr>
        <w:t>, M. Molecular evolution of human coronavirus genomes. Trends Microbiol. 25, 35–48 (2017).</w:t>
      </w:r>
    </w:p>
    <w:p w14:paraId="2AD8FCE3" w14:textId="77777777" w:rsidR="00CF06B7" w:rsidRDefault="00D84484">
      <w:pPr>
        <w:pStyle w:val="ListParagraph"/>
        <w:numPr>
          <w:ilvl w:val="0"/>
          <w:numId w:val="10"/>
        </w:numPr>
        <w:overflowPunct w:val="0"/>
        <w:autoSpaceDE w:val="0"/>
        <w:autoSpaceDN w:val="0"/>
        <w:adjustRightInd w:val="0"/>
        <w:spacing w:line="140" w:lineRule="exact"/>
        <w:ind w:firstLineChars="0"/>
        <w:textAlignment w:val="baseline"/>
        <w:rPr>
          <w:rFonts w:ascii="Times New Roman" w:eastAsia="SimSun"/>
          <w:sz w:val="12"/>
          <w:szCs w:val="12"/>
        </w:rPr>
      </w:pPr>
      <w:r>
        <w:rPr>
          <w:rFonts w:ascii="Times New Roman" w:eastAsia="SimSun"/>
          <w:sz w:val="12"/>
          <w:szCs w:val="12"/>
        </w:rPr>
        <w:t xml:space="preserve">Kan, B. et al. Molecular evolution analysis and geographic investigation of severe acute respiratory syndrome coronavirus-like virus in palm civets at an animal market and on farms. J. </w:t>
      </w:r>
      <w:proofErr w:type="spellStart"/>
      <w:r>
        <w:rPr>
          <w:rFonts w:ascii="Times New Roman" w:eastAsia="SimSun"/>
          <w:sz w:val="12"/>
          <w:szCs w:val="12"/>
        </w:rPr>
        <w:t>Virol</w:t>
      </w:r>
      <w:proofErr w:type="spellEnd"/>
      <w:r>
        <w:rPr>
          <w:rFonts w:ascii="Times New Roman" w:eastAsia="SimSun"/>
          <w:sz w:val="12"/>
          <w:szCs w:val="12"/>
        </w:rPr>
        <w:t>. 79, 11892–11900 (2005).</w:t>
      </w:r>
    </w:p>
    <w:p w14:paraId="616A656F" w14:textId="77777777" w:rsidR="00CF06B7" w:rsidRDefault="00D84484">
      <w:pPr>
        <w:pStyle w:val="ListParagraph"/>
        <w:numPr>
          <w:ilvl w:val="0"/>
          <w:numId w:val="10"/>
        </w:numPr>
        <w:overflowPunct w:val="0"/>
        <w:autoSpaceDE w:val="0"/>
        <w:autoSpaceDN w:val="0"/>
        <w:adjustRightInd w:val="0"/>
        <w:spacing w:line="140" w:lineRule="exact"/>
        <w:ind w:firstLineChars="0"/>
        <w:textAlignment w:val="baseline"/>
        <w:rPr>
          <w:rFonts w:ascii="Times New Roman" w:eastAsia="SimSun"/>
          <w:sz w:val="12"/>
          <w:szCs w:val="12"/>
        </w:rPr>
      </w:pPr>
      <w:proofErr w:type="spellStart"/>
      <w:r w:rsidRPr="00614310">
        <w:rPr>
          <w:rFonts w:ascii="Times New Roman" w:eastAsia="SimSun"/>
          <w:sz w:val="12"/>
          <w:szCs w:val="12"/>
          <w:lang w:val="es-MX"/>
        </w:rPr>
        <w:t>Ithete</w:t>
      </w:r>
      <w:proofErr w:type="spellEnd"/>
      <w:r w:rsidRPr="00614310">
        <w:rPr>
          <w:rFonts w:ascii="Times New Roman" w:eastAsia="SimSun"/>
          <w:sz w:val="12"/>
          <w:szCs w:val="12"/>
          <w:lang w:val="es-MX"/>
        </w:rPr>
        <w:t xml:space="preserve">, N. L. et al. </w:t>
      </w:r>
      <w:r>
        <w:rPr>
          <w:rFonts w:ascii="Times New Roman" w:eastAsia="SimSun"/>
          <w:sz w:val="12"/>
          <w:szCs w:val="12"/>
        </w:rPr>
        <w:t xml:space="preserve">Close relative of human Middle East respiratory syndrome coronavirus in bat, South Africa. </w:t>
      </w:r>
      <w:proofErr w:type="spellStart"/>
      <w:r>
        <w:rPr>
          <w:rFonts w:ascii="Times New Roman" w:eastAsia="SimSun"/>
          <w:sz w:val="12"/>
          <w:szCs w:val="12"/>
        </w:rPr>
        <w:t>Emerg</w:t>
      </w:r>
      <w:proofErr w:type="spellEnd"/>
      <w:r>
        <w:rPr>
          <w:rFonts w:ascii="Times New Roman" w:eastAsia="SimSun"/>
          <w:sz w:val="12"/>
          <w:szCs w:val="12"/>
        </w:rPr>
        <w:t>. Infect. Dis. 19, 1697–1699 (2013).</w:t>
      </w:r>
    </w:p>
    <w:p w14:paraId="49C22C6A" w14:textId="77777777" w:rsidR="00CF06B7" w:rsidRDefault="00D84484">
      <w:pPr>
        <w:pStyle w:val="ListParagraph"/>
        <w:numPr>
          <w:ilvl w:val="0"/>
          <w:numId w:val="10"/>
        </w:numPr>
        <w:overflowPunct w:val="0"/>
        <w:autoSpaceDE w:val="0"/>
        <w:autoSpaceDN w:val="0"/>
        <w:adjustRightInd w:val="0"/>
        <w:spacing w:line="140" w:lineRule="exact"/>
        <w:ind w:firstLineChars="0"/>
        <w:textAlignment w:val="baseline"/>
        <w:rPr>
          <w:rFonts w:ascii="Times New Roman" w:eastAsia="SimSun"/>
          <w:sz w:val="12"/>
          <w:szCs w:val="12"/>
        </w:rPr>
      </w:pPr>
      <w:r>
        <w:rPr>
          <w:rFonts w:ascii="Times New Roman" w:eastAsia="SimSun"/>
          <w:sz w:val="12"/>
          <w:szCs w:val="12"/>
        </w:rPr>
        <w:t>“Interim Laboratory Biosafety Guidelines for Handling and Processing Specimens Associated with Coronavirus Disease 2019 (COVID-19)” https://www.cdc.gov/coronavirus/2019-nCoV/lab/lab-biosafety-guidelines.html.</w:t>
      </w:r>
    </w:p>
    <w:p w14:paraId="392EB739" w14:textId="77777777" w:rsidR="00CF06B7" w:rsidRDefault="00D84484">
      <w:pPr>
        <w:pStyle w:val="Heading3"/>
        <w:spacing w:line="140" w:lineRule="exact"/>
        <w:rPr>
          <w:rFonts w:eastAsia="SimSun"/>
          <w:color w:val="auto"/>
          <w:szCs w:val="22"/>
        </w:rPr>
      </w:pPr>
      <w:r>
        <w:rPr>
          <w:rFonts w:eastAsia="SimSun"/>
          <w:color w:val="auto"/>
          <w:szCs w:val="22"/>
        </w:rPr>
        <w:t>GLOSSARY OF SYMBOLS</w:t>
      </w:r>
    </w:p>
    <w:p w14:paraId="5037E1F1" w14:textId="77777777" w:rsidR="00CF06B7" w:rsidRDefault="00CF06B7">
      <w:pPr>
        <w:pStyle w:val="ListParagraph"/>
        <w:overflowPunct w:val="0"/>
        <w:autoSpaceDE w:val="0"/>
        <w:autoSpaceDN w:val="0"/>
        <w:adjustRightInd w:val="0"/>
        <w:spacing w:line="140" w:lineRule="exact"/>
        <w:ind w:firstLineChars="0" w:firstLine="0"/>
        <w:jc w:val="left"/>
        <w:textAlignment w:val="baseline"/>
        <w:rPr>
          <w:rFonts w:ascii="Times New Roman" w:eastAsia="SimSun"/>
          <w:bCs/>
          <w:color w:val="000000"/>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821"/>
        <w:gridCol w:w="380"/>
        <w:gridCol w:w="2451"/>
      </w:tblGrid>
      <w:tr w:rsidR="00CF06B7" w14:paraId="3331169F" w14:textId="77777777">
        <w:trPr>
          <w:trHeight w:val="14"/>
          <w:jc w:val="center"/>
        </w:trPr>
        <w:tc>
          <w:tcPr>
            <w:tcW w:w="381" w:type="pct"/>
            <w:vAlign w:val="center"/>
          </w:tcPr>
          <w:p w14:paraId="0AE3CB65" w14:textId="77777777" w:rsidR="00CF06B7" w:rsidRDefault="00D84484">
            <w:pPr>
              <w:spacing w:line="160" w:lineRule="exact"/>
              <w:jc w:val="center"/>
              <w:rPr>
                <w:rFonts w:ascii="BD Symbol CBE v4" w:eastAsia="Microsoft YaHei" w:hAnsi="BD Symbol CBE v4" w:hint="eastAsia"/>
                <w:position w:val="-2"/>
                <w:sz w:val="11"/>
                <w:szCs w:val="12"/>
              </w:rPr>
            </w:pPr>
            <w:r>
              <w:rPr>
                <w:rFonts w:ascii="BD Symbol CBE v4" w:hAnsi="BD Symbol CBE v4"/>
                <w:position w:val="-2"/>
                <w:sz w:val="11"/>
                <w:szCs w:val="12"/>
              </w:rPr>
              <w:t></w:t>
            </w:r>
          </w:p>
        </w:tc>
        <w:tc>
          <w:tcPr>
            <w:tcW w:w="1808" w:type="pct"/>
            <w:vAlign w:val="center"/>
          </w:tcPr>
          <w:p w14:paraId="5FFEAA4C" w14:textId="77777777" w:rsidR="00CF06B7" w:rsidRDefault="00D84484">
            <w:pPr>
              <w:spacing w:line="160" w:lineRule="exact"/>
              <w:jc w:val="left"/>
              <w:rPr>
                <w:rFonts w:ascii="Times New Roman" w:eastAsia="Microsoft YaHei"/>
                <w:sz w:val="11"/>
                <w:szCs w:val="12"/>
              </w:rPr>
            </w:pPr>
            <w:r>
              <w:rPr>
                <w:rFonts w:ascii="Times New Roman" w:eastAsia="Microsoft YaHei"/>
                <w:sz w:val="11"/>
                <w:szCs w:val="12"/>
              </w:rPr>
              <w:t>Catalog number</w:t>
            </w:r>
          </w:p>
        </w:tc>
        <w:tc>
          <w:tcPr>
            <w:tcW w:w="377" w:type="pct"/>
            <w:vAlign w:val="center"/>
          </w:tcPr>
          <w:p w14:paraId="47D7FFD3" w14:textId="77777777" w:rsidR="00CF06B7" w:rsidRDefault="00D84484">
            <w:pPr>
              <w:spacing w:line="160" w:lineRule="exact"/>
              <w:ind w:leftChars="-51" w:left="-92" w:firstLineChars="100" w:firstLine="110"/>
              <w:jc w:val="center"/>
              <w:rPr>
                <w:rFonts w:ascii="BD Symbol CBE v4" w:eastAsia="Microsoft YaHei" w:hAnsi="BD Symbol CBE v4" w:hint="eastAsia"/>
                <w:position w:val="-2"/>
                <w:sz w:val="11"/>
                <w:szCs w:val="12"/>
              </w:rPr>
            </w:pPr>
            <w:r>
              <w:rPr>
                <w:rFonts w:ascii="BD Symbol CBE v4" w:hAnsi="BD Symbol CBE v4"/>
                <w:position w:val="-2"/>
                <w:sz w:val="11"/>
                <w:szCs w:val="12"/>
              </w:rPr>
              <w:t></w:t>
            </w:r>
          </w:p>
        </w:tc>
        <w:tc>
          <w:tcPr>
            <w:tcW w:w="2434" w:type="pct"/>
            <w:vAlign w:val="center"/>
          </w:tcPr>
          <w:p w14:paraId="447E0FCD" w14:textId="77777777" w:rsidR="00CF06B7" w:rsidRDefault="00D84484">
            <w:pPr>
              <w:spacing w:line="160" w:lineRule="exact"/>
              <w:jc w:val="left"/>
              <w:rPr>
                <w:rFonts w:ascii="Times New Roman" w:eastAsia="Microsoft YaHei"/>
                <w:sz w:val="11"/>
                <w:szCs w:val="12"/>
              </w:rPr>
            </w:pPr>
            <w:r>
              <w:rPr>
                <w:rFonts w:ascii="Times New Roman" w:eastAsia="Microsoft YaHei"/>
                <w:sz w:val="11"/>
                <w:szCs w:val="12"/>
              </w:rPr>
              <w:t>Temperature limitation</w:t>
            </w:r>
          </w:p>
        </w:tc>
      </w:tr>
      <w:tr w:rsidR="00CF06B7" w14:paraId="024AFF76" w14:textId="77777777">
        <w:trPr>
          <w:trHeight w:val="10"/>
          <w:jc w:val="center"/>
        </w:trPr>
        <w:tc>
          <w:tcPr>
            <w:tcW w:w="381" w:type="pct"/>
            <w:vAlign w:val="center"/>
          </w:tcPr>
          <w:p w14:paraId="7D3DA1DB" w14:textId="77777777" w:rsidR="00CF06B7" w:rsidRDefault="00D84484">
            <w:pPr>
              <w:spacing w:line="160" w:lineRule="exact"/>
              <w:jc w:val="center"/>
              <w:rPr>
                <w:rFonts w:ascii="BD Symbol CBE v4" w:eastAsia="Microsoft YaHei" w:hAnsi="BD Symbol CBE v4" w:hint="eastAsia"/>
                <w:position w:val="-2"/>
                <w:sz w:val="11"/>
                <w:szCs w:val="12"/>
              </w:rPr>
            </w:pPr>
            <w:r>
              <w:rPr>
                <w:rFonts w:ascii="BD Symbol CBE v4" w:hAnsi="BD Symbol CBE v4"/>
                <w:position w:val="-2"/>
                <w:sz w:val="11"/>
                <w:szCs w:val="12"/>
              </w:rPr>
              <w:t></w:t>
            </w:r>
          </w:p>
        </w:tc>
        <w:tc>
          <w:tcPr>
            <w:tcW w:w="1808" w:type="pct"/>
            <w:vAlign w:val="center"/>
          </w:tcPr>
          <w:p w14:paraId="4077556E" w14:textId="77777777" w:rsidR="00CF06B7" w:rsidRDefault="00D84484">
            <w:pPr>
              <w:spacing w:line="160" w:lineRule="exact"/>
              <w:jc w:val="left"/>
              <w:rPr>
                <w:rFonts w:ascii="Times New Roman" w:eastAsia="Microsoft YaHei"/>
                <w:sz w:val="11"/>
                <w:szCs w:val="12"/>
              </w:rPr>
            </w:pPr>
            <w:r>
              <w:rPr>
                <w:rFonts w:ascii="Times New Roman" w:eastAsia="Microsoft YaHei"/>
                <w:sz w:val="11"/>
                <w:szCs w:val="12"/>
              </w:rPr>
              <w:t>Consult instructions for use</w:t>
            </w:r>
          </w:p>
        </w:tc>
        <w:tc>
          <w:tcPr>
            <w:tcW w:w="377" w:type="pct"/>
            <w:vAlign w:val="center"/>
          </w:tcPr>
          <w:p w14:paraId="3D153501" w14:textId="77777777" w:rsidR="00CF06B7" w:rsidRDefault="00D84484">
            <w:pPr>
              <w:spacing w:line="160" w:lineRule="exact"/>
              <w:jc w:val="center"/>
              <w:rPr>
                <w:rFonts w:ascii="BD Symbol CBE v4" w:eastAsia="Microsoft YaHei" w:hAnsi="BD Symbol CBE v4" w:hint="eastAsia"/>
                <w:position w:val="-2"/>
                <w:sz w:val="11"/>
                <w:szCs w:val="12"/>
              </w:rPr>
            </w:pPr>
            <w:r>
              <w:rPr>
                <w:rFonts w:ascii="BD Symbol CBE v4" w:hAnsi="BD Symbol CBE v4"/>
                <w:position w:val="-2"/>
                <w:sz w:val="11"/>
                <w:szCs w:val="12"/>
              </w:rPr>
              <w:t></w:t>
            </w:r>
            <w:r>
              <w:rPr>
                <w:rFonts w:ascii="BD Symbol CBE v4" w:hAnsi="BD Symbol CBE v4"/>
                <w:position w:val="-2"/>
                <w:sz w:val="11"/>
                <w:szCs w:val="12"/>
              </w:rPr>
              <w:t></w:t>
            </w:r>
          </w:p>
        </w:tc>
        <w:tc>
          <w:tcPr>
            <w:tcW w:w="2434" w:type="pct"/>
            <w:vAlign w:val="center"/>
          </w:tcPr>
          <w:p w14:paraId="719F2B3F" w14:textId="77777777" w:rsidR="00CF06B7" w:rsidRDefault="00D84484">
            <w:pPr>
              <w:spacing w:line="160" w:lineRule="exact"/>
              <w:jc w:val="left"/>
              <w:rPr>
                <w:rFonts w:ascii="Times New Roman" w:eastAsia="Microsoft YaHei"/>
                <w:sz w:val="11"/>
                <w:szCs w:val="12"/>
              </w:rPr>
            </w:pPr>
            <w:r>
              <w:rPr>
                <w:rFonts w:ascii="Times New Roman" w:eastAsia="Microsoft YaHei"/>
                <w:sz w:val="11"/>
                <w:szCs w:val="12"/>
              </w:rPr>
              <w:t>Batch code</w:t>
            </w:r>
          </w:p>
        </w:tc>
      </w:tr>
      <w:tr w:rsidR="00CF06B7" w14:paraId="5FB08CF2" w14:textId="77777777">
        <w:trPr>
          <w:trHeight w:val="12"/>
          <w:jc w:val="center"/>
        </w:trPr>
        <w:tc>
          <w:tcPr>
            <w:tcW w:w="381" w:type="pct"/>
            <w:vAlign w:val="center"/>
          </w:tcPr>
          <w:p w14:paraId="1236F0D1" w14:textId="77777777" w:rsidR="00CF06B7" w:rsidRDefault="00D84484">
            <w:pPr>
              <w:spacing w:line="160" w:lineRule="exact"/>
              <w:jc w:val="center"/>
              <w:rPr>
                <w:rFonts w:ascii="BD Symbol CBE v4" w:eastAsia="Microsoft YaHei" w:hAnsi="BD Symbol CBE v4" w:hint="eastAsia"/>
                <w:position w:val="-2"/>
                <w:sz w:val="11"/>
                <w:szCs w:val="12"/>
              </w:rPr>
            </w:pPr>
            <w:r>
              <w:rPr>
                <w:rFonts w:ascii="BD Symbol CBE v4" w:hAnsi="BD Symbol CBE v4"/>
                <w:position w:val="-2"/>
                <w:sz w:val="11"/>
                <w:szCs w:val="12"/>
              </w:rPr>
              <w:t></w:t>
            </w:r>
          </w:p>
        </w:tc>
        <w:tc>
          <w:tcPr>
            <w:tcW w:w="1808" w:type="pct"/>
            <w:vAlign w:val="center"/>
          </w:tcPr>
          <w:p w14:paraId="60C13614" w14:textId="77777777" w:rsidR="00CF06B7" w:rsidRDefault="00D84484">
            <w:pPr>
              <w:spacing w:line="160" w:lineRule="exact"/>
              <w:jc w:val="left"/>
              <w:rPr>
                <w:rFonts w:ascii="Times New Roman" w:eastAsia="Microsoft YaHei"/>
                <w:sz w:val="11"/>
                <w:szCs w:val="12"/>
              </w:rPr>
            </w:pPr>
            <w:r>
              <w:rPr>
                <w:rFonts w:ascii="Times New Roman" w:eastAsia="Microsoft YaHei"/>
                <w:i/>
                <w:sz w:val="11"/>
                <w:szCs w:val="12"/>
              </w:rPr>
              <w:t>In vitro</w:t>
            </w:r>
            <w:r>
              <w:rPr>
                <w:rFonts w:ascii="Times New Roman" w:eastAsia="Microsoft YaHei"/>
                <w:sz w:val="11"/>
                <w:szCs w:val="12"/>
              </w:rPr>
              <w:t xml:space="preserve"> diagnostic medical device</w:t>
            </w:r>
          </w:p>
        </w:tc>
        <w:tc>
          <w:tcPr>
            <w:tcW w:w="377" w:type="pct"/>
            <w:vAlign w:val="center"/>
          </w:tcPr>
          <w:p w14:paraId="6F4477ED" w14:textId="77777777" w:rsidR="00CF06B7" w:rsidRDefault="00D84484">
            <w:pPr>
              <w:spacing w:line="160" w:lineRule="exact"/>
              <w:ind w:leftChars="5" w:left="9" w:firstLineChars="50" w:firstLine="55"/>
              <w:jc w:val="center"/>
              <w:rPr>
                <w:rFonts w:ascii="BD Symbol CBE v4" w:eastAsia="Microsoft YaHei" w:hAnsi="BD Symbol CBE v4" w:hint="eastAsia"/>
                <w:position w:val="-2"/>
                <w:sz w:val="11"/>
                <w:szCs w:val="12"/>
              </w:rPr>
            </w:pPr>
            <w:r>
              <w:rPr>
                <w:rFonts w:ascii="BD Symbol CBE v4" w:hAnsi="BD Symbol CBE v4"/>
                <w:position w:val="-2"/>
                <w:sz w:val="11"/>
                <w:szCs w:val="12"/>
              </w:rPr>
              <w:t></w:t>
            </w:r>
          </w:p>
        </w:tc>
        <w:tc>
          <w:tcPr>
            <w:tcW w:w="2434" w:type="pct"/>
            <w:vAlign w:val="center"/>
          </w:tcPr>
          <w:p w14:paraId="30B9B70F" w14:textId="77777777" w:rsidR="00CF06B7" w:rsidRDefault="00D84484">
            <w:pPr>
              <w:spacing w:line="160" w:lineRule="exact"/>
              <w:jc w:val="left"/>
              <w:rPr>
                <w:rFonts w:ascii="Times New Roman" w:eastAsia="Microsoft YaHei"/>
                <w:sz w:val="11"/>
                <w:szCs w:val="12"/>
              </w:rPr>
            </w:pPr>
            <w:r>
              <w:rPr>
                <w:rFonts w:ascii="Times New Roman" w:eastAsia="Microsoft YaHei"/>
                <w:sz w:val="11"/>
                <w:szCs w:val="12"/>
              </w:rPr>
              <w:t>Use by</w:t>
            </w:r>
          </w:p>
        </w:tc>
      </w:tr>
      <w:tr w:rsidR="00CF06B7" w14:paraId="7DE1F8AE" w14:textId="77777777">
        <w:trPr>
          <w:trHeight w:val="11"/>
          <w:jc w:val="center"/>
        </w:trPr>
        <w:tc>
          <w:tcPr>
            <w:tcW w:w="381" w:type="pct"/>
            <w:vAlign w:val="center"/>
          </w:tcPr>
          <w:p w14:paraId="131BF93B" w14:textId="77777777" w:rsidR="00CF06B7" w:rsidRDefault="00D84484">
            <w:pPr>
              <w:spacing w:line="160" w:lineRule="exact"/>
              <w:jc w:val="center"/>
              <w:rPr>
                <w:rFonts w:ascii="BD Symbol CBE v4" w:eastAsia="Microsoft YaHei" w:hAnsi="BD Symbol CBE v4" w:hint="eastAsia"/>
                <w:position w:val="-2"/>
                <w:sz w:val="11"/>
                <w:szCs w:val="12"/>
              </w:rPr>
            </w:pPr>
            <w:r>
              <w:rPr>
                <w:rFonts w:ascii="BD Symbol CBE v4" w:hAnsi="BD Symbol CBE v4"/>
                <w:position w:val="-2"/>
                <w:sz w:val="11"/>
                <w:szCs w:val="12"/>
              </w:rPr>
              <w:t></w:t>
            </w:r>
          </w:p>
        </w:tc>
        <w:tc>
          <w:tcPr>
            <w:tcW w:w="1808" w:type="pct"/>
            <w:vAlign w:val="center"/>
          </w:tcPr>
          <w:p w14:paraId="333513B1" w14:textId="77777777" w:rsidR="00CF06B7" w:rsidRDefault="00D84484">
            <w:pPr>
              <w:spacing w:line="160" w:lineRule="exact"/>
              <w:jc w:val="left"/>
              <w:rPr>
                <w:rFonts w:ascii="Times New Roman" w:eastAsia="Microsoft YaHei"/>
                <w:sz w:val="11"/>
                <w:szCs w:val="12"/>
              </w:rPr>
            </w:pPr>
            <w:r>
              <w:rPr>
                <w:rFonts w:ascii="Times New Roman" w:eastAsia="Microsoft YaHei"/>
                <w:sz w:val="11"/>
                <w:szCs w:val="12"/>
              </w:rPr>
              <w:t>Manufacturer</w:t>
            </w:r>
          </w:p>
        </w:tc>
        <w:tc>
          <w:tcPr>
            <w:tcW w:w="377" w:type="pct"/>
            <w:vAlign w:val="center"/>
          </w:tcPr>
          <w:p w14:paraId="16413D2D" w14:textId="77777777" w:rsidR="00CF06B7" w:rsidRDefault="00D84484">
            <w:pPr>
              <w:spacing w:line="160" w:lineRule="exact"/>
              <w:ind w:firstLineChars="50" w:firstLine="55"/>
              <w:jc w:val="center"/>
              <w:rPr>
                <w:rFonts w:ascii="BD Symbol CBE v4" w:eastAsia="Microsoft YaHei" w:hAnsi="BD Symbol CBE v4" w:hint="eastAsia"/>
                <w:position w:val="-2"/>
                <w:sz w:val="11"/>
                <w:szCs w:val="12"/>
              </w:rPr>
            </w:pPr>
            <w:r>
              <w:rPr>
                <w:rFonts w:ascii="BD Symbol CBE v4" w:hAnsi="BD Symbol CBE v4"/>
                <w:position w:val="-2"/>
                <w:sz w:val="11"/>
                <w:szCs w:val="12"/>
              </w:rPr>
              <w:t></w:t>
            </w:r>
          </w:p>
        </w:tc>
        <w:tc>
          <w:tcPr>
            <w:tcW w:w="2434" w:type="pct"/>
            <w:vAlign w:val="center"/>
          </w:tcPr>
          <w:p w14:paraId="5FD4B2F3" w14:textId="77777777" w:rsidR="00CF06B7" w:rsidRDefault="00D84484">
            <w:pPr>
              <w:spacing w:line="160" w:lineRule="exact"/>
              <w:jc w:val="left"/>
              <w:rPr>
                <w:rFonts w:ascii="Times New Roman" w:eastAsia="Microsoft YaHei"/>
                <w:sz w:val="11"/>
                <w:szCs w:val="12"/>
              </w:rPr>
            </w:pPr>
            <w:r>
              <w:rPr>
                <w:rFonts w:ascii="Times New Roman" w:eastAsia="Microsoft YaHei"/>
                <w:sz w:val="11"/>
                <w:szCs w:val="12"/>
              </w:rPr>
              <w:t>Do not reuse</w:t>
            </w:r>
          </w:p>
        </w:tc>
      </w:tr>
    </w:tbl>
    <w:p w14:paraId="610E1455" w14:textId="77777777" w:rsidR="00CF06B7" w:rsidRDefault="00CF06B7">
      <w:pPr>
        <w:overflowPunct w:val="0"/>
        <w:autoSpaceDE w:val="0"/>
        <w:autoSpaceDN w:val="0"/>
        <w:adjustRightInd w:val="0"/>
        <w:spacing w:line="160" w:lineRule="exact"/>
        <w:ind w:right="300"/>
        <w:textAlignment w:val="baseline"/>
        <w:rPr>
          <w:rFonts w:ascii="Calibri" w:eastAsia="Microsoft YaHei" w:hAnsi="Calibri"/>
          <w:sz w:val="12"/>
          <w:szCs w:val="12"/>
        </w:rPr>
      </w:pPr>
    </w:p>
    <w:p w14:paraId="742EFB16" w14:textId="77777777" w:rsidR="00CF06B7" w:rsidRDefault="00CF06B7">
      <w:pPr>
        <w:spacing w:line="130" w:lineRule="exact"/>
        <w:rPr>
          <w:rFonts w:ascii="Times New Roman"/>
          <w:sz w:val="12"/>
          <w:szCs w:val="12"/>
        </w:rPr>
      </w:pPr>
    </w:p>
    <w:p w14:paraId="49635EA6" w14:textId="77777777" w:rsidR="00CF06B7" w:rsidRDefault="00D84484">
      <w:pPr>
        <w:spacing w:line="130" w:lineRule="exact"/>
        <w:rPr>
          <w:rFonts w:ascii="Times New Roman"/>
          <w:b/>
          <w:sz w:val="12"/>
          <w:szCs w:val="12"/>
        </w:rPr>
      </w:pPr>
      <w:r>
        <w:rPr>
          <w:rFonts w:ascii="Times New Roman" w:hint="eastAsia"/>
          <w:sz w:val="12"/>
          <w:szCs w:val="12"/>
        </w:rPr>
        <w:t>Manufactured</w:t>
      </w:r>
      <w:r>
        <w:rPr>
          <w:rFonts w:ascii="Times New Roman"/>
          <w:sz w:val="12"/>
          <w:szCs w:val="12"/>
        </w:rPr>
        <w:t xml:space="preserve"> by:</w:t>
      </w:r>
    </w:p>
    <w:p w14:paraId="0432D043" w14:textId="77777777" w:rsidR="00CF06B7" w:rsidRDefault="00D84484">
      <w:pPr>
        <w:overflowPunct w:val="0"/>
        <w:autoSpaceDE w:val="0"/>
        <w:autoSpaceDN w:val="0"/>
        <w:adjustRightInd w:val="0"/>
        <w:spacing w:line="130" w:lineRule="exact"/>
        <w:textAlignment w:val="baseline"/>
        <w:rPr>
          <w:rFonts w:ascii="Times New Roman"/>
          <w:b/>
          <w:sz w:val="12"/>
          <w:szCs w:val="12"/>
          <w:lang w:eastAsia="zh-TW"/>
        </w:rPr>
      </w:pPr>
      <w:bookmarkStart w:id="4" w:name="_Hlk44915660"/>
      <w:r>
        <w:rPr>
          <w:rFonts w:ascii="Times New Roman"/>
          <w:b/>
          <w:sz w:val="12"/>
          <w:szCs w:val="12"/>
          <w:lang w:eastAsia="zh-TW"/>
        </w:rPr>
        <w:t>Assure Tech. (Hangzhou) Co., Ltd.</w:t>
      </w:r>
    </w:p>
    <w:p w14:paraId="2C6C5888" w14:textId="77777777" w:rsidR="00CF06B7" w:rsidRDefault="00D84484">
      <w:pPr>
        <w:overflowPunct w:val="0"/>
        <w:autoSpaceDE w:val="0"/>
        <w:autoSpaceDN w:val="0"/>
        <w:adjustRightInd w:val="0"/>
        <w:spacing w:line="130" w:lineRule="exact"/>
        <w:textAlignment w:val="baseline"/>
        <w:rPr>
          <w:rFonts w:ascii="Times New Roman"/>
          <w:sz w:val="12"/>
          <w:szCs w:val="12"/>
          <w:lang w:eastAsia="zh-TW"/>
        </w:rPr>
      </w:pPr>
      <w:r>
        <w:rPr>
          <w:rFonts w:ascii="Times New Roman"/>
          <w:sz w:val="12"/>
          <w:szCs w:val="12"/>
          <w:lang w:eastAsia="zh-TW"/>
        </w:rPr>
        <w:t xml:space="preserve">2nd-5th Floor, Building 4, No. 1418-50, Moganshan Road, </w:t>
      </w:r>
    </w:p>
    <w:p w14:paraId="538D2A1A" w14:textId="77777777" w:rsidR="00CF06B7" w:rsidRDefault="00D84484">
      <w:pPr>
        <w:overflowPunct w:val="0"/>
        <w:autoSpaceDE w:val="0"/>
        <w:autoSpaceDN w:val="0"/>
        <w:adjustRightInd w:val="0"/>
        <w:spacing w:line="130" w:lineRule="exact"/>
        <w:textAlignment w:val="baseline"/>
        <w:rPr>
          <w:rFonts w:ascii="Times New Roman"/>
          <w:sz w:val="12"/>
          <w:szCs w:val="12"/>
          <w:lang w:eastAsia="zh-TW"/>
        </w:rPr>
      </w:pPr>
      <w:proofErr w:type="spellStart"/>
      <w:r>
        <w:rPr>
          <w:rFonts w:ascii="Times New Roman"/>
          <w:sz w:val="12"/>
          <w:szCs w:val="12"/>
          <w:lang w:eastAsia="zh-TW"/>
        </w:rPr>
        <w:t>Gongshu</w:t>
      </w:r>
      <w:proofErr w:type="spellEnd"/>
      <w:r>
        <w:rPr>
          <w:rFonts w:ascii="Times New Roman"/>
          <w:sz w:val="12"/>
          <w:szCs w:val="12"/>
          <w:lang w:eastAsia="zh-TW"/>
        </w:rPr>
        <w:t xml:space="preserve"> District, Hangzhou, Zhejiang 310011, China</w:t>
      </w:r>
    </w:p>
    <w:p w14:paraId="69951956" w14:textId="77777777" w:rsidR="00CF06B7" w:rsidRDefault="00CF06B7">
      <w:pPr>
        <w:overflowPunct w:val="0"/>
        <w:autoSpaceDE w:val="0"/>
        <w:autoSpaceDN w:val="0"/>
        <w:adjustRightInd w:val="0"/>
        <w:spacing w:line="130" w:lineRule="exact"/>
        <w:textAlignment w:val="baseline"/>
        <w:rPr>
          <w:rFonts w:ascii="Times New Roman" w:eastAsia="Microsoft YaHei"/>
          <w:sz w:val="12"/>
          <w:szCs w:val="12"/>
        </w:rPr>
      </w:pPr>
    </w:p>
    <w:p w14:paraId="130648C6" w14:textId="79B783E8" w:rsidR="00264060" w:rsidRDefault="004A5464">
      <w:pPr>
        <w:overflowPunct w:val="0"/>
        <w:autoSpaceDE w:val="0"/>
        <w:autoSpaceDN w:val="0"/>
        <w:adjustRightInd w:val="0"/>
        <w:spacing w:line="130" w:lineRule="exact"/>
        <w:textAlignment w:val="baseline"/>
        <w:rPr>
          <w:rFonts w:ascii="Times New Roman"/>
          <w:sz w:val="12"/>
          <w:szCs w:val="12"/>
          <w:lang w:eastAsia="zh-TW"/>
        </w:rPr>
      </w:pPr>
      <w:hyperlink r:id="rId24" w:history="1">
        <w:r w:rsidR="00264060" w:rsidRPr="00DE1D64">
          <w:rPr>
            <w:rStyle w:val="Hyperlink"/>
            <w:rFonts w:ascii="Times New Roman"/>
            <w:sz w:val="12"/>
            <w:szCs w:val="12"/>
            <w:lang w:eastAsia="zh-TW"/>
          </w:rPr>
          <w:t>www.assurelabs.com</w:t>
        </w:r>
      </w:hyperlink>
    </w:p>
    <w:p w14:paraId="45C0DD07" w14:textId="07A05831" w:rsidR="00264060" w:rsidRDefault="003F2FD7">
      <w:pPr>
        <w:overflowPunct w:val="0"/>
        <w:autoSpaceDE w:val="0"/>
        <w:autoSpaceDN w:val="0"/>
        <w:adjustRightInd w:val="0"/>
        <w:spacing w:line="130" w:lineRule="exact"/>
        <w:textAlignment w:val="baseline"/>
        <w:rPr>
          <w:rFonts w:ascii="Times New Roman"/>
          <w:sz w:val="12"/>
          <w:szCs w:val="12"/>
          <w:lang w:eastAsia="zh-TW"/>
        </w:rPr>
      </w:pPr>
      <w:r w:rsidRPr="00577B72">
        <w:rPr>
          <w:rFonts w:ascii="Times New Roman"/>
          <w:sz w:val="12"/>
          <w:szCs w:val="12"/>
        </w:rPr>
        <w:t>contact</w:t>
      </w:r>
      <w:r>
        <w:rPr>
          <w:rFonts w:ascii="Times New Roman"/>
          <w:sz w:val="12"/>
          <w:szCs w:val="12"/>
        </w:rPr>
        <w:t>@diareagent.com</w:t>
      </w:r>
      <w:bookmarkEnd w:id="4"/>
    </w:p>
    <w:p w14:paraId="17F9D5AE" w14:textId="0A525151" w:rsidR="00CF06B7" w:rsidRDefault="00D84484">
      <w:pPr>
        <w:overflowPunct w:val="0"/>
        <w:autoSpaceDE w:val="0"/>
        <w:autoSpaceDN w:val="0"/>
        <w:adjustRightInd w:val="0"/>
        <w:spacing w:line="130" w:lineRule="exact"/>
        <w:textAlignment w:val="baseline"/>
        <w:rPr>
          <w:rFonts w:ascii="Times New Roman"/>
          <w:sz w:val="12"/>
          <w:szCs w:val="12"/>
          <w:lang w:eastAsia="zh-TW"/>
        </w:rPr>
      </w:pPr>
      <w:r>
        <w:rPr>
          <w:rFonts w:ascii="Times New Roman"/>
          <w:sz w:val="12"/>
          <w:szCs w:val="12"/>
          <w:lang w:eastAsia="zh-TW"/>
        </w:rPr>
        <w:t xml:space="preserve">Customer Service Phone: </w:t>
      </w:r>
      <w:r w:rsidR="00116D57">
        <w:rPr>
          <w:rFonts w:ascii="Times New Roman"/>
          <w:sz w:val="12"/>
          <w:szCs w:val="12"/>
          <w:lang w:eastAsia="zh-TW"/>
        </w:rPr>
        <w:t>1-800-618-5829</w:t>
      </w:r>
    </w:p>
    <w:p w14:paraId="66873B17" w14:textId="42C7CBB2" w:rsidR="00CF06B7" w:rsidRDefault="00D84484">
      <w:pPr>
        <w:overflowPunct w:val="0"/>
        <w:autoSpaceDE w:val="0"/>
        <w:autoSpaceDN w:val="0"/>
        <w:adjustRightInd w:val="0"/>
        <w:spacing w:line="130" w:lineRule="exact"/>
        <w:textAlignment w:val="baseline"/>
        <w:rPr>
          <w:rFonts w:ascii="Times New Roman"/>
          <w:sz w:val="12"/>
          <w:szCs w:val="12"/>
          <w:lang w:eastAsia="zh-TW"/>
        </w:rPr>
      </w:pPr>
      <w:r>
        <w:rPr>
          <w:rFonts w:ascii="Times New Roman"/>
          <w:sz w:val="12"/>
          <w:szCs w:val="12"/>
          <w:lang w:eastAsia="zh-TW"/>
        </w:rPr>
        <w:t xml:space="preserve">Service date/hours: Monday through Friday </w:t>
      </w:r>
      <w:r w:rsidR="00116D57">
        <w:rPr>
          <w:rFonts w:ascii="Times New Roman"/>
          <w:sz w:val="12"/>
          <w:szCs w:val="12"/>
          <w:lang w:eastAsia="zh-TW"/>
        </w:rPr>
        <w:t>9</w:t>
      </w:r>
      <w:r>
        <w:rPr>
          <w:rFonts w:ascii="Times New Roman"/>
          <w:sz w:val="12"/>
          <w:szCs w:val="12"/>
          <w:lang w:eastAsia="zh-TW"/>
        </w:rPr>
        <w:t>:</w:t>
      </w:r>
      <w:r w:rsidR="00116D57">
        <w:rPr>
          <w:rFonts w:ascii="Times New Roman"/>
          <w:sz w:val="12"/>
          <w:szCs w:val="12"/>
          <w:lang w:eastAsia="zh-TW"/>
        </w:rPr>
        <w:t>0</w:t>
      </w:r>
      <w:r>
        <w:rPr>
          <w:rFonts w:ascii="Times New Roman"/>
          <w:sz w:val="12"/>
          <w:szCs w:val="12"/>
          <w:lang w:eastAsia="zh-TW"/>
        </w:rPr>
        <w:t>0 AM to 5:</w:t>
      </w:r>
      <w:r w:rsidR="00116D57">
        <w:rPr>
          <w:rFonts w:ascii="Times New Roman"/>
          <w:sz w:val="12"/>
          <w:szCs w:val="12"/>
          <w:lang w:eastAsia="zh-TW"/>
        </w:rPr>
        <w:t>0</w:t>
      </w:r>
      <w:r>
        <w:rPr>
          <w:rFonts w:ascii="Times New Roman"/>
          <w:sz w:val="12"/>
          <w:szCs w:val="12"/>
          <w:lang w:eastAsia="zh-TW"/>
        </w:rPr>
        <w:t>0 PM</w:t>
      </w:r>
      <w:r w:rsidR="00116D57">
        <w:rPr>
          <w:rFonts w:ascii="Times New Roman"/>
          <w:sz w:val="12"/>
          <w:szCs w:val="12"/>
          <w:lang w:eastAsia="zh-TW"/>
        </w:rPr>
        <w:t xml:space="preserve"> CST</w:t>
      </w:r>
    </w:p>
    <w:p w14:paraId="05DE3A7E" w14:textId="3976AA8C" w:rsidR="00264060" w:rsidRDefault="00264060">
      <w:pPr>
        <w:overflowPunct w:val="0"/>
        <w:autoSpaceDE w:val="0"/>
        <w:autoSpaceDN w:val="0"/>
        <w:adjustRightInd w:val="0"/>
        <w:spacing w:line="130" w:lineRule="exact"/>
        <w:textAlignment w:val="baseline"/>
        <w:rPr>
          <w:rFonts w:ascii="Times New Roman"/>
          <w:sz w:val="12"/>
          <w:szCs w:val="12"/>
          <w:lang w:eastAsia="zh-TW"/>
        </w:rPr>
      </w:pPr>
    </w:p>
    <w:p w14:paraId="18798E3C" w14:textId="77777777" w:rsidR="00264060" w:rsidRDefault="00264060">
      <w:pPr>
        <w:overflowPunct w:val="0"/>
        <w:autoSpaceDE w:val="0"/>
        <w:autoSpaceDN w:val="0"/>
        <w:adjustRightInd w:val="0"/>
        <w:spacing w:line="130" w:lineRule="exact"/>
        <w:textAlignment w:val="baseline"/>
        <w:rPr>
          <w:rFonts w:ascii="Times New Roman"/>
          <w:sz w:val="12"/>
          <w:szCs w:val="12"/>
          <w:lang w:eastAsia="zh-TW"/>
        </w:rPr>
      </w:pPr>
    </w:p>
    <w:sectPr w:rsidR="00264060">
      <w:headerReference w:type="even" r:id="rId25"/>
      <w:headerReference w:type="default" r:id="rId26"/>
      <w:footerReference w:type="default" r:id="rId27"/>
      <w:pgSz w:w="16839" w:h="11907" w:orient="landscape"/>
      <w:pgMar w:top="567" w:right="454" w:bottom="567" w:left="454" w:header="0" w:footer="340" w:gutter="0"/>
      <w:cols w:num="3" w:space="397"/>
      <w:docGrid w:type="lines" w:linePitch="2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FDA" w:date="2020-07-06T14:46:00Z" w:initials="FDA">
    <w:p w14:paraId="152FB708" w14:textId="490EACCE" w:rsidR="00F47B55" w:rsidRPr="00F47B55" w:rsidRDefault="00F47B55">
      <w:pPr>
        <w:pStyle w:val="CommentText"/>
        <w:rPr>
          <w:rFonts w:asciiTheme="minorHAnsi" w:hAnsiTheme="minorHAnsi"/>
          <w:lang w:val="en-US"/>
        </w:rPr>
      </w:pPr>
      <w:r>
        <w:rPr>
          <w:rStyle w:val="CommentReference"/>
        </w:rPr>
        <w:annotationRef/>
      </w:r>
      <w:r>
        <w:rPr>
          <w:rFonts w:asciiTheme="minorHAnsi" w:hAnsiTheme="minorHAnsi"/>
          <w:lang w:val="en-US"/>
        </w:rPr>
        <w:t>Update footer date/revision number as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2FB7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2FB708" w16cid:durableId="22ADB7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48F84E" w14:textId="77777777" w:rsidR="004A5464" w:rsidRDefault="004A5464">
      <w:r>
        <w:separator/>
      </w:r>
    </w:p>
  </w:endnote>
  <w:endnote w:type="continuationSeparator" w:id="0">
    <w:p w14:paraId="5120B8F3" w14:textId="77777777" w:rsidR="004A5464" w:rsidRDefault="004A5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ËÎÌå">
    <w:altName w:val="Microsoft YaHei"/>
    <w:charset w:val="86"/>
    <w:family w:val="auto"/>
    <w:pitch w:val="default"/>
    <w:sig w:usb0="00000000" w:usb1="00000000" w:usb2="00000010" w:usb3="00000000" w:csb0="00040000" w:csb1="00000000"/>
  </w:font>
  <w:font w:name="??¨¬?">
    <w:altName w:val="SimHei"/>
    <w:charset w:val="86"/>
    <w:family w:val="auto"/>
    <w:pitch w:val="default"/>
    <w:sig w:usb0="00000000" w:usb1="00000000" w:usb2="00000010" w:usb3="00000000" w:csb0="00040000" w:csb1="00000000"/>
  </w:font>
  <w:font w:name="SymbolMT">
    <w:altName w:val="Times New Roman"/>
    <w:charset w:val="00"/>
    <w:family w:val="roman"/>
    <w:pitch w:val="default"/>
  </w:font>
  <w:font w:name="TimesNewRomanPSMT">
    <w:altName w:val="Times New Roman"/>
    <w:charset w:val="00"/>
    <w:family w:val="roman"/>
    <w:pitch w:val="default"/>
    <w:sig w:usb0="00000000"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D Symbol CBE v4">
    <w:altName w:val="Symbol"/>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183FE" w14:textId="1C791493" w:rsidR="0094297D" w:rsidRDefault="0094297D">
    <w:pPr>
      <w:pStyle w:val="Footer"/>
      <w:wordWrap w:val="0"/>
      <w:jc w:val="right"/>
      <w:rPr>
        <w:rFonts w:ascii="Times New Roman" w:eastAsia="SimSun"/>
        <w:sz w:val="11"/>
      </w:rPr>
    </w:pPr>
    <w:r>
      <w:rPr>
        <w:rFonts w:ascii="Times New Roman" w:eastAsia="DengXian"/>
        <w:sz w:val="11"/>
      </w:rPr>
      <w:t>Revision 1.2 Effective date: 2020-04</w:t>
    </w:r>
    <w:r w:rsidR="00D750A1">
      <w:rPr>
        <w:rFonts w:ascii="Times New Roman" w:eastAsia="DengXian" w:hint="eastAsia"/>
        <w:sz w:val="11"/>
      </w:rPr>
      <w:t>7</w:t>
    </w:r>
    <w:r w:rsidR="00D750A1">
      <w:rPr>
        <w:rFonts w:ascii="Times New Roman" w:eastAsia="DengXian"/>
        <w:sz w:val="11"/>
        <w:lang w:val="en-US"/>
      </w:rPr>
      <w:t>-06</w:t>
    </w:r>
    <w:r>
      <w:rPr>
        <w:rFonts w:ascii="Times New Roman" w:eastAsia="DengXian" w:hint="eastAsia"/>
        <w:sz w:val="11"/>
      </w:rPr>
      <w:t xml:space="preserve"> </w:t>
    </w:r>
    <w:r>
      <w:rPr>
        <w:rFonts w:ascii="Times New Roman" w:eastAsia="SimSun"/>
        <w:sz w:val="11"/>
        <w:szCs w:val="11"/>
      </w:rPr>
      <w:t xml:space="preserve">Page </w:t>
    </w:r>
    <w:r>
      <w:rPr>
        <w:rFonts w:ascii="Times New Roman" w:eastAsia="SimSun"/>
        <w:bCs/>
        <w:sz w:val="11"/>
        <w:szCs w:val="11"/>
      </w:rPr>
      <w:fldChar w:fldCharType="begin"/>
    </w:r>
    <w:r>
      <w:rPr>
        <w:rFonts w:ascii="Times New Roman" w:eastAsia="SimSun"/>
        <w:bCs/>
        <w:sz w:val="11"/>
        <w:szCs w:val="11"/>
      </w:rPr>
      <w:instrText>PAGE  \* Arabic  \* MERGEFORMAT</w:instrText>
    </w:r>
    <w:r>
      <w:rPr>
        <w:rFonts w:ascii="Times New Roman" w:eastAsia="SimSun"/>
        <w:bCs/>
        <w:sz w:val="11"/>
        <w:szCs w:val="11"/>
      </w:rPr>
      <w:fldChar w:fldCharType="separate"/>
    </w:r>
    <w:r>
      <w:rPr>
        <w:rFonts w:ascii="Times New Roman" w:eastAsia="SimSun"/>
        <w:bCs/>
        <w:noProof/>
        <w:sz w:val="11"/>
        <w:szCs w:val="11"/>
      </w:rPr>
      <w:t>2</w:t>
    </w:r>
    <w:r>
      <w:rPr>
        <w:rFonts w:ascii="Times New Roman" w:eastAsia="SimSun"/>
        <w:bCs/>
        <w:sz w:val="11"/>
        <w:szCs w:val="11"/>
      </w:rPr>
      <w:fldChar w:fldCharType="end"/>
    </w:r>
    <w:r>
      <w:rPr>
        <w:rFonts w:ascii="Times New Roman" w:eastAsia="SimSun"/>
        <w:sz w:val="11"/>
        <w:szCs w:val="11"/>
      </w:rPr>
      <w:t>/</w:t>
    </w:r>
    <w:r>
      <w:rPr>
        <w:rFonts w:ascii="Times New Roman" w:eastAsia="SimSun"/>
        <w:bCs/>
        <w:sz w:val="11"/>
        <w:szCs w:val="11"/>
      </w:rPr>
      <w:fldChar w:fldCharType="begin"/>
    </w:r>
    <w:r>
      <w:rPr>
        <w:rFonts w:ascii="Times New Roman" w:eastAsia="SimSun"/>
        <w:bCs/>
        <w:sz w:val="11"/>
        <w:szCs w:val="11"/>
      </w:rPr>
      <w:instrText>NUMPAGES  \* Arabic  \* MERGEFORMAT</w:instrText>
    </w:r>
    <w:r>
      <w:rPr>
        <w:rFonts w:ascii="Times New Roman" w:eastAsia="SimSun"/>
        <w:bCs/>
        <w:sz w:val="11"/>
        <w:szCs w:val="11"/>
      </w:rPr>
      <w:fldChar w:fldCharType="separate"/>
    </w:r>
    <w:r>
      <w:rPr>
        <w:rFonts w:ascii="Times New Roman" w:eastAsia="SimSun"/>
        <w:bCs/>
        <w:noProof/>
        <w:sz w:val="11"/>
        <w:szCs w:val="11"/>
      </w:rPr>
      <w:t>3</w:t>
    </w:r>
    <w:r>
      <w:rPr>
        <w:rFonts w:ascii="Times New Roman" w:eastAsia="SimSun"/>
        <w:bCs/>
        <w:sz w:val="11"/>
        <w:szCs w:val="11"/>
      </w:rPr>
      <w:fldChar w:fldCharType="end"/>
    </w:r>
    <w:r>
      <w:rPr>
        <w:rFonts w:ascii="Times New Roman" w:eastAsia="SimSun" w:hint="eastAsia"/>
        <w:sz w:val="11"/>
        <w:szCs w:val="1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0E756" w14:textId="77777777" w:rsidR="004A5464" w:rsidRDefault="004A5464">
      <w:r>
        <w:separator/>
      </w:r>
    </w:p>
  </w:footnote>
  <w:footnote w:type="continuationSeparator" w:id="0">
    <w:p w14:paraId="6D9161C1" w14:textId="77777777" w:rsidR="004A5464" w:rsidRDefault="004A5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18050" w14:textId="77777777" w:rsidR="0094297D" w:rsidRDefault="0094297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A81F7" w14:textId="77777777" w:rsidR="0094297D" w:rsidRDefault="0094297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A7458"/>
    <w:multiLevelType w:val="multilevel"/>
    <w:tmpl w:val="119A7458"/>
    <w:lvl w:ilvl="0">
      <w:start w:val="1"/>
      <w:numFmt w:val="decimal"/>
      <w:lvlText w:val="%1."/>
      <w:lvlJc w:val="left"/>
      <w:pPr>
        <w:ind w:left="420" w:hanging="4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1D17CF2"/>
    <w:multiLevelType w:val="multilevel"/>
    <w:tmpl w:val="21D17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B9166B"/>
    <w:multiLevelType w:val="multilevel"/>
    <w:tmpl w:val="2FB9166B"/>
    <w:lvl w:ilvl="0">
      <w:start w:val="1"/>
      <w:numFmt w:val="decimal"/>
      <w:lvlText w:val="%1."/>
      <w:lvlJc w:val="left"/>
      <w:pPr>
        <w:ind w:left="420" w:hanging="4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5D32903"/>
    <w:multiLevelType w:val="multilevel"/>
    <w:tmpl w:val="35D32903"/>
    <w:lvl w:ilvl="0">
      <w:start w:val="1"/>
      <w:numFmt w:val="bullet"/>
      <w:lvlText w:val=""/>
      <w:lvlJc w:val="left"/>
      <w:pPr>
        <w:tabs>
          <w:tab w:val="left" w:pos="612"/>
        </w:tabs>
        <w:ind w:left="612" w:hanging="360"/>
      </w:pPr>
      <w:rPr>
        <w:rFonts w:ascii="Symbol" w:hAnsi="Symbol" w:hint="default"/>
      </w:rPr>
    </w:lvl>
    <w:lvl w:ilvl="1">
      <w:start w:val="1"/>
      <w:numFmt w:val="bullet"/>
      <w:lvlText w:val="o"/>
      <w:lvlJc w:val="left"/>
      <w:pPr>
        <w:tabs>
          <w:tab w:val="left" w:pos="1332"/>
        </w:tabs>
        <w:ind w:left="1332" w:hanging="360"/>
      </w:pPr>
      <w:rPr>
        <w:rFonts w:ascii="Courier New" w:hAnsi="Courier New" w:cs="Courier New" w:hint="default"/>
      </w:rPr>
    </w:lvl>
    <w:lvl w:ilvl="2">
      <w:start w:val="1"/>
      <w:numFmt w:val="bullet"/>
      <w:lvlText w:val=""/>
      <w:lvlJc w:val="left"/>
      <w:pPr>
        <w:tabs>
          <w:tab w:val="left" w:pos="2052"/>
        </w:tabs>
        <w:ind w:left="2052" w:hanging="360"/>
      </w:pPr>
      <w:rPr>
        <w:rFonts w:ascii="Wingdings" w:hAnsi="Wingdings" w:hint="default"/>
      </w:rPr>
    </w:lvl>
    <w:lvl w:ilvl="3">
      <w:start w:val="1"/>
      <w:numFmt w:val="bullet"/>
      <w:lvlText w:val=""/>
      <w:lvlJc w:val="left"/>
      <w:pPr>
        <w:tabs>
          <w:tab w:val="left" w:pos="2772"/>
        </w:tabs>
        <w:ind w:left="2772" w:hanging="360"/>
      </w:pPr>
      <w:rPr>
        <w:rFonts w:ascii="Symbol" w:hAnsi="Symbol" w:hint="default"/>
      </w:rPr>
    </w:lvl>
    <w:lvl w:ilvl="4">
      <w:start w:val="1"/>
      <w:numFmt w:val="bullet"/>
      <w:lvlText w:val="o"/>
      <w:lvlJc w:val="left"/>
      <w:pPr>
        <w:tabs>
          <w:tab w:val="left" w:pos="3492"/>
        </w:tabs>
        <w:ind w:left="3492" w:hanging="360"/>
      </w:pPr>
      <w:rPr>
        <w:rFonts w:ascii="Courier New" w:hAnsi="Courier New" w:cs="Courier New" w:hint="default"/>
      </w:rPr>
    </w:lvl>
    <w:lvl w:ilvl="5">
      <w:start w:val="1"/>
      <w:numFmt w:val="bullet"/>
      <w:lvlText w:val=""/>
      <w:lvlJc w:val="left"/>
      <w:pPr>
        <w:tabs>
          <w:tab w:val="left" w:pos="4212"/>
        </w:tabs>
        <w:ind w:left="4212" w:hanging="360"/>
      </w:pPr>
      <w:rPr>
        <w:rFonts w:ascii="Wingdings" w:hAnsi="Wingdings" w:hint="default"/>
      </w:rPr>
    </w:lvl>
    <w:lvl w:ilvl="6">
      <w:start w:val="1"/>
      <w:numFmt w:val="bullet"/>
      <w:lvlText w:val=""/>
      <w:lvlJc w:val="left"/>
      <w:pPr>
        <w:tabs>
          <w:tab w:val="left" w:pos="4932"/>
        </w:tabs>
        <w:ind w:left="4932" w:hanging="360"/>
      </w:pPr>
      <w:rPr>
        <w:rFonts w:ascii="Symbol" w:hAnsi="Symbol" w:hint="default"/>
      </w:rPr>
    </w:lvl>
    <w:lvl w:ilvl="7">
      <w:start w:val="1"/>
      <w:numFmt w:val="bullet"/>
      <w:lvlText w:val="o"/>
      <w:lvlJc w:val="left"/>
      <w:pPr>
        <w:tabs>
          <w:tab w:val="left" w:pos="5652"/>
        </w:tabs>
        <w:ind w:left="5652" w:hanging="360"/>
      </w:pPr>
      <w:rPr>
        <w:rFonts w:ascii="Courier New" w:hAnsi="Courier New" w:cs="Courier New" w:hint="default"/>
      </w:rPr>
    </w:lvl>
    <w:lvl w:ilvl="8">
      <w:start w:val="1"/>
      <w:numFmt w:val="bullet"/>
      <w:lvlText w:val=""/>
      <w:lvlJc w:val="left"/>
      <w:pPr>
        <w:tabs>
          <w:tab w:val="left" w:pos="6372"/>
        </w:tabs>
        <w:ind w:left="6372" w:hanging="360"/>
      </w:pPr>
      <w:rPr>
        <w:rFonts w:ascii="Wingdings" w:hAnsi="Wingdings" w:hint="default"/>
      </w:rPr>
    </w:lvl>
  </w:abstractNum>
  <w:abstractNum w:abstractNumId="4" w15:restartNumberingAfterBreak="0">
    <w:nsid w:val="4196A7D9"/>
    <w:multiLevelType w:val="singleLevel"/>
    <w:tmpl w:val="4196A7D9"/>
    <w:lvl w:ilvl="0">
      <w:start w:val="1"/>
      <w:numFmt w:val="lowerLetter"/>
      <w:suff w:val="space"/>
      <w:lvlText w:val="%1)"/>
      <w:lvlJc w:val="left"/>
    </w:lvl>
  </w:abstractNum>
  <w:abstractNum w:abstractNumId="5" w15:restartNumberingAfterBreak="0">
    <w:nsid w:val="4F594F98"/>
    <w:multiLevelType w:val="multilevel"/>
    <w:tmpl w:val="4F594F9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51FF974A"/>
    <w:multiLevelType w:val="singleLevel"/>
    <w:tmpl w:val="51FF974A"/>
    <w:lvl w:ilvl="0">
      <w:start w:val="1"/>
      <w:numFmt w:val="lowerLetter"/>
      <w:suff w:val="space"/>
      <w:lvlText w:val="%1)"/>
      <w:lvlJc w:val="left"/>
    </w:lvl>
  </w:abstractNum>
  <w:abstractNum w:abstractNumId="7" w15:restartNumberingAfterBreak="0">
    <w:nsid w:val="5DC7710B"/>
    <w:multiLevelType w:val="multilevel"/>
    <w:tmpl w:val="5DC7710B"/>
    <w:lvl w:ilvl="0">
      <w:start w:val="1"/>
      <w:numFmt w:val="decimal"/>
      <w:lvlText w:val="%1."/>
      <w:lvlJc w:val="left"/>
      <w:pPr>
        <w:tabs>
          <w:tab w:val="left" w:pos="144"/>
        </w:tabs>
        <w:ind w:left="144" w:hanging="14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5E135068"/>
    <w:multiLevelType w:val="singleLevel"/>
    <w:tmpl w:val="5E135068"/>
    <w:lvl w:ilvl="0">
      <w:start w:val="1"/>
      <w:numFmt w:val="bullet"/>
      <w:lvlText w:val=""/>
      <w:lvlJc w:val="left"/>
      <w:pPr>
        <w:ind w:left="562" w:hanging="420"/>
      </w:pPr>
      <w:rPr>
        <w:rFonts w:ascii="Symbol" w:hAnsi="Symbol" w:hint="default"/>
        <w:spacing w:val="-20"/>
      </w:rPr>
    </w:lvl>
  </w:abstractNum>
  <w:abstractNum w:abstractNumId="9" w15:restartNumberingAfterBreak="0">
    <w:nsid w:val="7184B3F7"/>
    <w:multiLevelType w:val="singleLevel"/>
    <w:tmpl w:val="7184B3F7"/>
    <w:lvl w:ilvl="0">
      <w:start w:val="1"/>
      <w:numFmt w:val="lowerLetter"/>
      <w:suff w:val="space"/>
      <w:lvlText w:val="%1)"/>
      <w:lvlJc w:val="left"/>
    </w:lvl>
  </w:abstractNum>
  <w:abstractNum w:abstractNumId="10" w15:restartNumberingAfterBreak="0">
    <w:nsid w:val="71A223EA"/>
    <w:multiLevelType w:val="multilevel"/>
    <w:tmpl w:val="71A223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5"/>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9"/>
  </w:num>
  <w:num w:numId="8">
    <w:abstractNumId w:val="2"/>
  </w:num>
  <w:num w:numId="9">
    <w:abstractNumId w:val="10"/>
  </w:num>
  <w:num w:numId="10">
    <w:abstractNumId w:val="0"/>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DA">
    <w15:presenceInfo w15:providerId="None" w15:userId="F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trackRevisions/>
  <w:defaultTabStop w:val="420"/>
  <w:hyphenationZone w:val="425"/>
  <w:drawingGridHorizontalSpacing w:val="90"/>
  <w:drawingGridVerticalSpacing w:val="24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FBB"/>
    <w:rsid w:val="00000357"/>
    <w:rsid w:val="00000EAB"/>
    <w:rsid w:val="00002750"/>
    <w:rsid w:val="00006BBB"/>
    <w:rsid w:val="00007F20"/>
    <w:rsid w:val="000103A4"/>
    <w:rsid w:val="000104BE"/>
    <w:rsid w:val="000111B5"/>
    <w:rsid w:val="000123D2"/>
    <w:rsid w:val="00013C65"/>
    <w:rsid w:val="0001443E"/>
    <w:rsid w:val="000145B0"/>
    <w:rsid w:val="00014A59"/>
    <w:rsid w:val="00015B0D"/>
    <w:rsid w:val="00017EAE"/>
    <w:rsid w:val="00023AB1"/>
    <w:rsid w:val="00024459"/>
    <w:rsid w:val="00025CA2"/>
    <w:rsid w:val="00026446"/>
    <w:rsid w:val="000307A4"/>
    <w:rsid w:val="00030B9E"/>
    <w:rsid w:val="00031239"/>
    <w:rsid w:val="00035AC0"/>
    <w:rsid w:val="00037D3D"/>
    <w:rsid w:val="000425D5"/>
    <w:rsid w:val="00042902"/>
    <w:rsid w:val="000455EC"/>
    <w:rsid w:val="00045F0A"/>
    <w:rsid w:val="000462E7"/>
    <w:rsid w:val="00046EC9"/>
    <w:rsid w:val="00047486"/>
    <w:rsid w:val="00053A01"/>
    <w:rsid w:val="0005435E"/>
    <w:rsid w:val="00054ADA"/>
    <w:rsid w:val="00062A94"/>
    <w:rsid w:val="0007134D"/>
    <w:rsid w:val="000718C2"/>
    <w:rsid w:val="0007345B"/>
    <w:rsid w:val="00077BE2"/>
    <w:rsid w:val="00080FCB"/>
    <w:rsid w:val="00085CDC"/>
    <w:rsid w:val="000878F6"/>
    <w:rsid w:val="0009699A"/>
    <w:rsid w:val="00097B47"/>
    <w:rsid w:val="000A1726"/>
    <w:rsid w:val="000A3CDA"/>
    <w:rsid w:val="000A5FC3"/>
    <w:rsid w:val="000B3AEF"/>
    <w:rsid w:val="000B49A7"/>
    <w:rsid w:val="000B6380"/>
    <w:rsid w:val="000C015D"/>
    <w:rsid w:val="000C071B"/>
    <w:rsid w:val="000C158C"/>
    <w:rsid w:val="000D5E9C"/>
    <w:rsid w:val="000D63C3"/>
    <w:rsid w:val="000D6E28"/>
    <w:rsid w:val="000D6F34"/>
    <w:rsid w:val="000E0FA9"/>
    <w:rsid w:val="000E2278"/>
    <w:rsid w:val="000E2ADB"/>
    <w:rsid w:val="000F19AB"/>
    <w:rsid w:val="000F1DCB"/>
    <w:rsid w:val="000F2F7B"/>
    <w:rsid w:val="001031E6"/>
    <w:rsid w:val="00103C8F"/>
    <w:rsid w:val="0011013E"/>
    <w:rsid w:val="00112411"/>
    <w:rsid w:val="00115687"/>
    <w:rsid w:val="00116D57"/>
    <w:rsid w:val="0012227A"/>
    <w:rsid w:val="00123448"/>
    <w:rsid w:val="0012558A"/>
    <w:rsid w:val="001257EA"/>
    <w:rsid w:val="0012686F"/>
    <w:rsid w:val="00127500"/>
    <w:rsid w:val="001312F4"/>
    <w:rsid w:val="00132D86"/>
    <w:rsid w:val="0013482C"/>
    <w:rsid w:val="00136B9A"/>
    <w:rsid w:val="0014474A"/>
    <w:rsid w:val="00144801"/>
    <w:rsid w:val="00144B21"/>
    <w:rsid w:val="00145176"/>
    <w:rsid w:val="00146F8B"/>
    <w:rsid w:val="00151276"/>
    <w:rsid w:val="00152C6C"/>
    <w:rsid w:val="00152E15"/>
    <w:rsid w:val="001532E2"/>
    <w:rsid w:val="0015524F"/>
    <w:rsid w:val="001552D8"/>
    <w:rsid w:val="0015658B"/>
    <w:rsid w:val="00156E33"/>
    <w:rsid w:val="00156E59"/>
    <w:rsid w:val="0016143F"/>
    <w:rsid w:val="00171029"/>
    <w:rsid w:val="00174123"/>
    <w:rsid w:val="00175A0F"/>
    <w:rsid w:val="00177452"/>
    <w:rsid w:val="00184345"/>
    <w:rsid w:val="0018475F"/>
    <w:rsid w:val="001864DE"/>
    <w:rsid w:val="001925C9"/>
    <w:rsid w:val="001970E8"/>
    <w:rsid w:val="001A2FCD"/>
    <w:rsid w:val="001B3331"/>
    <w:rsid w:val="001B40D0"/>
    <w:rsid w:val="001B4D84"/>
    <w:rsid w:val="001B7C1F"/>
    <w:rsid w:val="001C07C5"/>
    <w:rsid w:val="001C21C2"/>
    <w:rsid w:val="001C3016"/>
    <w:rsid w:val="001C5B7B"/>
    <w:rsid w:val="001C6D99"/>
    <w:rsid w:val="001C7388"/>
    <w:rsid w:val="001D047F"/>
    <w:rsid w:val="001D35D4"/>
    <w:rsid w:val="001D5909"/>
    <w:rsid w:val="001E0EE8"/>
    <w:rsid w:val="001E722F"/>
    <w:rsid w:val="001F2AFD"/>
    <w:rsid w:val="001F5FBB"/>
    <w:rsid w:val="001F7708"/>
    <w:rsid w:val="0020080C"/>
    <w:rsid w:val="00203427"/>
    <w:rsid w:val="00204850"/>
    <w:rsid w:val="002059EB"/>
    <w:rsid w:val="00206EC8"/>
    <w:rsid w:val="0021577E"/>
    <w:rsid w:val="002173C6"/>
    <w:rsid w:val="00223E71"/>
    <w:rsid w:val="00224A4F"/>
    <w:rsid w:val="00225472"/>
    <w:rsid w:val="002263D2"/>
    <w:rsid w:val="002266E0"/>
    <w:rsid w:val="00232E87"/>
    <w:rsid w:val="002331B3"/>
    <w:rsid w:val="00242D84"/>
    <w:rsid w:val="00246731"/>
    <w:rsid w:val="002477A8"/>
    <w:rsid w:val="00252AE8"/>
    <w:rsid w:val="002542DE"/>
    <w:rsid w:val="0026031D"/>
    <w:rsid w:val="00262CDC"/>
    <w:rsid w:val="00264060"/>
    <w:rsid w:val="002706C0"/>
    <w:rsid w:val="0027471A"/>
    <w:rsid w:val="00275325"/>
    <w:rsid w:val="00281DB3"/>
    <w:rsid w:val="002832C9"/>
    <w:rsid w:val="00284544"/>
    <w:rsid w:val="0028457B"/>
    <w:rsid w:val="0028628B"/>
    <w:rsid w:val="002864F0"/>
    <w:rsid w:val="00286981"/>
    <w:rsid w:val="0029095D"/>
    <w:rsid w:val="00290C4A"/>
    <w:rsid w:val="00292787"/>
    <w:rsid w:val="0029308A"/>
    <w:rsid w:val="00297BD3"/>
    <w:rsid w:val="002A0D9F"/>
    <w:rsid w:val="002A179F"/>
    <w:rsid w:val="002A3375"/>
    <w:rsid w:val="002A3DCC"/>
    <w:rsid w:val="002A7541"/>
    <w:rsid w:val="002B056A"/>
    <w:rsid w:val="002B0B84"/>
    <w:rsid w:val="002B1108"/>
    <w:rsid w:val="002B42D4"/>
    <w:rsid w:val="002B56B3"/>
    <w:rsid w:val="002B72C4"/>
    <w:rsid w:val="002C2C86"/>
    <w:rsid w:val="002C2E96"/>
    <w:rsid w:val="002C5827"/>
    <w:rsid w:val="002D0287"/>
    <w:rsid w:val="002D1330"/>
    <w:rsid w:val="002D28F0"/>
    <w:rsid w:val="002D34F8"/>
    <w:rsid w:val="002D5105"/>
    <w:rsid w:val="002D70A9"/>
    <w:rsid w:val="002D7BBA"/>
    <w:rsid w:val="002E3E0F"/>
    <w:rsid w:val="00305ACF"/>
    <w:rsid w:val="00306E0F"/>
    <w:rsid w:val="0030744F"/>
    <w:rsid w:val="00312854"/>
    <w:rsid w:val="00313EB3"/>
    <w:rsid w:val="0031684D"/>
    <w:rsid w:val="00316FA7"/>
    <w:rsid w:val="00324E9E"/>
    <w:rsid w:val="003260E2"/>
    <w:rsid w:val="00327611"/>
    <w:rsid w:val="00337922"/>
    <w:rsid w:val="003420D8"/>
    <w:rsid w:val="003504BD"/>
    <w:rsid w:val="00350740"/>
    <w:rsid w:val="00356098"/>
    <w:rsid w:val="00360EBE"/>
    <w:rsid w:val="00366C0F"/>
    <w:rsid w:val="00384B58"/>
    <w:rsid w:val="00387FF1"/>
    <w:rsid w:val="003923F2"/>
    <w:rsid w:val="00395017"/>
    <w:rsid w:val="003A0BF1"/>
    <w:rsid w:val="003A27F9"/>
    <w:rsid w:val="003A4533"/>
    <w:rsid w:val="003A4E87"/>
    <w:rsid w:val="003A518E"/>
    <w:rsid w:val="003A6965"/>
    <w:rsid w:val="003A7000"/>
    <w:rsid w:val="003B1E68"/>
    <w:rsid w:val="003B7D55"/>
    <w:rsid w:val="003C088E"/>
    <w:rsid w:val="003C1044"/>
    <w:rsid w:val="003C2702"/>
    <w:rsid w:val="003C3D17"/>
    <w:rsid w:val="003C6EFD"/>
    <w:rsid w:val="003C792B"/>
    <w:rsid w:val="003C7B4D"/>
    <w:rsid w:val="003D3890"/>
    <w:rsid w:val="003E6E3F"/>
    <w:rsid w:val="003F2D45"/>
    <w:rsid w:val="003F2FD7"/>
    <w:rsid w:val="00401E9F"/>
    <w:rsid w:val="00402BDA"/>
    <w:rsid w:val="0040718E"/>
    <w:rsid w:val="00411DE2"/>
    <w:rsid w:val="004176AB"/>
    <w:rsid w:val="004228A3"/>
    <w:rsid w:val="00424758"/>
    <w:rsid w:val="0043079E"/>
    <w:rsid w:val="00431129"/>
    <w:rsid w:val="00433F30"/>
    <w:rsid w:val="00436ACC"/>
    <w:rsid w:val="00437471"/>
    <w:rsid w:val="00441167"/>
    <w:rsid w:val="004420AD"/>
    <w:rsid w:val="00442EE1"/>
    <w:rsid w:val="00443D3B"/>
    <w:rsid w:val="004462E6"/>
    <w:rsid w:val="0044775F"/>
    <w:rsid w:val="00453FE6"/>
    <w:rsid w:val="00454B80"/>
    <w:rsid w:val="00457723"/>
    <w:rsid w:val="0046186B"/>
    <w:rsid w:val="0046441E"/>
    <w:rsid w:val="00467518"/>
    <w:rsid w:val="00471F33"/>
    <w:rsid w:val="00472EA7"/>
    <w:rsid w:val="004746E5"/>
    <w:rsid w:val="0047604E"/>
    <w:rsid w:val="00476240"/>
    <w:rsid w:val="004773BE"/>
    <w:rsid w:val="004775E1"/>
    <w:rsid w:val="00481FDA"/>
    <w:rsid w:val="00485475"/>
    <w:rsid w:val="004873C1"/>
    <w:rsid w:val="004948B3"/>
    <w:rsid w:val="00495F00"/>
    <w:rsid w:val="004A0D11"/>
    <w:rsid w:val="004A13CF"/>
    <w:rsid w:val="004A45E2"/>
    <w:rsid w:val="004A5464"/>
    <w:rsid w:val="004A69FC"/>
    <w:rsid w:val="004B23AE"/>
    <w:rsid w:val="004B6B90"/>
    <w:rsid w:val="004C27E6"/>
    <w:rsid w:val="004C4B0D"/>
    <w:rsid w:val="004D27CD"/>
    <w:rsid w:val="004D7050"/>
    <w:rsid w:val="004D7318"/>
    <w:rsid w:val="004E2F8B"/>
    <w:rsid w:val="004E7E85"/>
    <w:rsid w:val="004F32AA"/>
    <w:rsid w:val="004F7E1B"/>
    <w:rsid w:val="005002D3"/>
    <w:rsid w:val="005040F0"/>
    <w:rsid w:val="00507689"/>
    <w:rsid w:val="00511274"/>
    <w:rsid w:val="005162C9"/>
    <w:rsid w:val="005277FE"/>
    <w:rsid w:val="005319E5"/>
    <w:rsid w:val="00531FC1"/>
    <w:rsid w:val="005354D0"/>
    <w:rsid w:val="00541425"/>
    <w:rsid w:val="00543F79"/>
    <w:rsid w:val="005460B4"/>
    <w:rsid w:val="005512B3"/>
    <w:rsid w:val="0055301A"/>
    <w:rsid w:val="00554BAB"/>
    <w:rsid w:val="005573C5"/>
    <w:rsid w:val="00557819"/>
    <w:rsid w:val="005616E7"/>
    <w:rsid w:val="005646E1"/>
    <w:rsid w:val="0056601C"/>
    <w:rsid w:val="005679A1"/>
    <w:rsid w:val="0057032C"/>
    <w:rsid w:val="0057085D"/>
    <w:rsid w:val="00572A84"/>
    <w:rsid w:val="00576F0F"/>
    <w:rsid w:val="00577B72"/>
    <w:rsid w:val="00582D11"/>
    <w:rsid w:val="005855BA"/>
    <w:rsid w:val="00585BDB"/>
    <w:rsid w:val="00586457"/>
    <w:rsid w:val="0058677C"/>
    <w:rsid w:val="00587260"/>
    <w:rsid w:val="0059078D"/>
    <w:rsid w:val="00596EA3"/>
    <w:rsid w:val="00597017"/>
    <w:rsid w:val="00597248"/>
    <w:rsid w:val="005A62FD"/>
    <w:rsid w:val="005A6E67"/>
    <w:rsid w:val="005B68F4"/>
    <w:rsid w:val="005C14AA"/>
    <w:rsid w:val="005C1B3F"/>
    <w:rsid w:val="005C38F5"/>
    <w:rsid w:val="005C4BE6"/>
    <w:rsid w:val="005C508C"/>
    <w:rsid w:val="005C5F8E"/>
    <w:rsid w:val="005C7C99"/>
    <w:rsid w:val="005D0781"/>
    <w:rsid w:val="005D1133"/>
    <w:rsid w:val="005D131B"/>
    <w:rsid w:val="005D49A4"/>
    <w:rsid w:val="005D57AD"/>
    <w:rsid w:val="005D5F78"/>
    <w:rsid w:val="005D7005"/>
    <w:rsid w:val="005E1C3E"/>
    <w:rsid w:val="005E7973"/>
    <w:rsid w:val="005F0306"/>
    <w:rsid w:val="005F0706"/>
    <w:rsid w:val="005F0ED6"/>
    <w:rsid w:val="005F4F84"/>
    <w:rsid w:val="005F6166"/>
    <w:rsid w:val="005F63D2"/>
    <w:rsid w:val="00600C7C"/>
    <w:rsid w:val="00600D30"/>
    <w:rsid w:val="00604CD4"/>
    <w:rsid w:val="00614310"/>
    <w:rsid w:val="006151C9"/>
    <w:rsid w:val="00617CC5"/>
    <w:rsid w:val="00622952"/>
    <w:rsid w:val="00623EAA"/>
    <w:rsid w:val="006253B3"/>
    <w:rsid w:val="006267BA"/>
    <w:rsid w:val="00627AEC"/>
    <w:rsid w:val="006320FB"/>
    <w:rsid w:val="00633B31"/>
    <w:rsid w:val="006373C9"/>
    <w:rsid w:val="00641A4E"/>
    <w:rsid w:val="00647C91"/>
    <w:rsid w:val="00650446"/>
    <w:rsid w:val="00652F0F"/>
    <w:rsid w:val="00652FCC"/>
    <w:rsid w:val="006543E8"/>
    <w:rsid w:val="00654BBB"/>
    <w:rsid w:val="006660B0"/>
    <w:rsid w:val="00666F49"/>
    <w:rsid w:val="00667D2D"/>
    <w:rsid w:val="00671462"/>
    <w:rsid w:val="00671C99"/>
    <w:rsid w:val="006725A9"/>
    <w:rsid w:val="00673CE5"/>
    <w:rsid w:val="00676844"/>
    <w:rsid w:val="00680D02"/>
    <w:rsid w:val="00683C9C"/>
    <w:rsid w:val="006909F7"/>
    <w:rsid w:val="006A3EB6"/>
    <w:rsid w:val="006A4146"/>
    <w:rsid w:val="006A72D1"/>
    <w:rsid w:val="006A76EE"/>
    <w:rsid w:val="006B02EF"/>
    <w:rsid w:val="006B36D7"/>
    <w:rsid w:val="006B4AFB"/>
    <w:rsid w:val="006B6524"/>
    <w:rsid w:val="006B7E3C"/>
    <w:rsid w:val="006C5EB3"/>
    <w:rsid w:val="006D06FA"/>
    <w:rsid w:val="006D0FF3"/>
    <w:rsid w:val="006D1FB6"/>
    <w:rsid w:val="006D3607"/>
    <w:rsid w:val="006D3F48"/>
    <w:rsid w:val="006E194F"/>
    <w:rsid w:val="006E6341"/>
    <w:rsid w:val="006F3177"/>
    <w:rsid w:val="006F48E6"/>
    <w:rsid w:val="00701BBD"/>
    <w:rsid w:val="007043A4"/>
    <w:rsid w:val="00704409"/>
    <w:rsid w:val="007078EA"/>
    <w:rsid w:val="00711328"/>
    <w:rsid w:val="00713587"/>
    <w:rsid w:val="00714294"/>
    <w:rsid w:val="00721434"/>
    <w:rsid w:val="00721993"/>
    <w:rsid w:val="00721C21"/>
    <w:rsid w:val="007308AB"/>
    <w:rsid w:val="007331A9"/>
    <w:rsid w:val="00735366"/>
    <w:rsid w:val="00736DA4"/>
    <w:rsid w:val="00737C79"/>
    <w:rsid w:val="007412FD"/>
    <w:rsid w:val="007422CB"/>
    <w:rsid w:val="00742504"/>
    <w:rsid w:val="00742D94"/>
    <w:rsid w:val="007520C6"/>
    <w:rsid w:val="00755403"/>
    <w:rsid w:val="007600C8"/>
    <w:rsid w:val="00760213"/>
    <w:rsid w:val="00762186"/>
    <w:rsid w:val="007776BF"/>
    <w:rsid w:val="00786C46"/>
    <w:rsid w:val="00787D13"/>
    <w:rsid w:val="00795A38"/>
    <w:rsid w:val="007A3DA6"/>
    <w:rsid w:val="007A5B61"/>
    <w:rsid w:val="007A64F5"/>
    <w:rsid w:val="007A71F2"/>
    <w:rsid w:val="007B19FB"/>
    <w:rsid w:val="007B363A"/>
    <w:rsid w:val="007B5C56"/>
    <w:rsid w:val="007B6B9E"/>
    <w:rsid w:val="007B7051"/>
    <w:rsid w:val="007C0BC5"/>
    <w:rsid w:val="007C206B"/>
    <w:rsid w:val="007C5F72"/>
    <w:rsid w:val="007C619C"/>
    <w:rsid w:val="007D224B"/>
    <w:rsid w:val="007D50A9"/>
    <w:rsid w:val="007E3E89"/>
    <w:rsid w:val="007E533D"/>
    <w:rsid w:val="007E61DE"/>
    <w:rsid w:val="007F0D17"/>
    <w:rsid w:val="007F2831"/>
    <w:rsid w:val="007F3C3F"/>
    <w:rsid w:val="007F7817"/>
    <w:rsid w:val="00802396"/>
    <w:rsid w:val="00812AB7"/>
    <w:rsid w:val="00812BC7"/>
    <w:rsid w:val="0081619E"/>
    <w:rsid w:val="0082056A"/>
    <w:rsid w:val="00820D9C"/>
    <w:rsid w:val="00821421"/>
    <w:rsid w:val="00830F5F"/>
    <w:rsid w:val="00835E26"/>
    <w:rsid w:val="00842899"/>
    <w:rsid w:val="0084386B"/>
    <w:rsid w:val="0084582F"/>
    <w:rsid w:val="00853DFB"/>
    <w:rsid w:val="00857833"/>
    <w:rsid w:val="00870B91"/>
    <w:rsid w:val="00870CF6"/>
    <w:rsid w:val="00874263"/>
    <w:rsid w:val="008750A5"/>
    <w:rsid w:val="00876390"/>
    <w:rsid w:val="00884083"/>
    <w:rsid w:val="00890534"/>
    <w:rsid w:val="008973A2"/>
    <w:rsid w:val="008A3889"/>
    <w:rsid w:val="008A6D6E"/>
    <w:rsid w:val="008B0641"/>
    <w:rsid w:val="008B218A"/>
    <w:rsid w:val="008B3521"/>
    <w:rsid w:val="008B5035"/>
    <w:rsid w:val="008C14BB"/>
    <w:rsid w:val="008C15B3"/>
    <w:rsid w:val="008C3813"/>
    <w:rsid w:val="008C4B21"/>
    <w:rsid w:val="008D36C5"/>
    <w:rsid w:val="008D6E04"/>
    <w:rsid w:val="008D7DEB"/>
    <w:rsid w:val="008E0B12"/>
    <w:rsid w:val="008E45BD"/>
    <w:rsid w:val="008E763F"/>
    <w:rsid w:val="008F1936"/>
    <w:rsid w:val="0090391D"/>
    <w:rsid w:val="00904CE6"/>
    <w:rsid w:val="00904FFE"/>
    <w:rsid w:val="00907260"/>
    <w:rsid w:val="00910BB5"/>
    <w:rsid w:val="00912111"/>
    <w:rsid w:val="00913C70"/>
    <w:rsid w:val="00915D24"/>
    <w:rsid w:val="00916199"/>
    <w:rsid w:val="0092241E"/>
    <w:rsid w:val="00923629"/>
    <w:rsid w:val="009242E0"/>
    <w:rsid w:val="00926252"/>
    <w:rsid w:val="00932698"/>
    <w:rsid w:val="009330E3"/>
    <w:rsid w:val="00933182"/>
    <w:rsid w:val="009361C7"/>
    <w:rsid w:val="00937154"/>
    <w:rsid w:val="00940075"/>
    <w:rsid w:val="00940FB9"/>
    <w:rsid w:val="00941204"/>
    <w:rsid w:val="0094297D"/>
    <w:rsid w:val="00942A12"/>
    <w:rsid w:val="00942D23"/>
    <w:rsid w:val="00943436"/>
    <w:rsid w:val="009450C4"/>
    <w:rsid w:val="00945883"/>
    <w:rsid w:val="00945A7F"/>
    <w:rsid w:val="009502BE"/>
    <w:rsid w:val="00950A27"/>
    <w:rsid w:val="00954253"/>
    <w:rsid w:val="00955B64"/>
    <w:rsid w:val="009566E5"/>
    <w:rsid w:val="009620F5"/>
    <w:rsid w:val="00962A59"/>
    <w:rsid w:val="00963388"/>
    <w:rsid w:val="0097155B"/>
    <w:rsid w:val="00973A96"/>
    <w:rsid w:val="00977AEA"/>
    <w:rsid w:val="009834C6"/>
    <w:rsid w:val="00984F84"/>
    <w:rsid w:val="00985925"/>
    <w:rsid w:val="00985AEB"/>
    <w:rsid w:val="009863A3"/>
    <w:rsid w:val="00991443"/>
    <w:rsid w:val="00994C27"/>
    <w:rsid w:val="00995E4A"/>
    <w:rsid w:val="00997C34"/>
    <w:rsid w:val="00997FB2"/>
    <w:rsid w:val="009A06C2"/>
    <w:rsid w:val="009A5709"/>
    <w:rsid w:val="009B1E39"/>
    <w:rsid w:val="009B3736"/>
    <w:rsid w:val="009B4B14"/>
    <w:rsid w:val="009C04D0"/>
    <w:rsid w:val="009C262D"/>
    <w:rsid w:val="009C2F37"/>
    <w:rsid w:val="009C5C76"/>
    <w:rsid w:val="009C7A2C"/>
    <w:rsid w:val="009C7E24"/>
    <w:rsid w:val="009D3A0D"/>
    <w:rsid w:val="009E2AF4"/>
    <w:rsid w:val="009E34C9"/>
    <w:rsid w:val="009E62D2"/>
    <w:rsid w:val="009F012B"/>
    <w:rsid w:val="009F3303"/>
    <w:rsid w:val="009F5380"/>
    <w:rsid w:val="009F7A37"/>
    <w:rsid w:val="00A120BE"/>
    <w:rsid w:val="00A12788"/>
    <w:rsid w:val="00A20E9F"/>
    <w:rsid w:val="00A24556"/>
    <w:rsid w:val="00A32833"/>
    <w:rsid w:val="00A33E98"/>
    <w:rsid w:val="00A355ED"/>
    <w:rsid w:val="00A41309"/>
    <w:rsid w:val="00A429C1"/>
    <w:rsid w:val="00A436DA"/>
    <w:rsid w:val="00A46C4B"/>
    <w:rsid w:val="00A46F9D"/>
    <w:rsid w:val="00A52E72"/>
    <w:rsid w:val="00A6169A"/>
    <w:rsid w:val="00A61C78"/>
    <w:rsid w:val="00A63141"/>
    <w:rsid w:val="00A635DC"/>
    <w:rsid w:val="00A64F61"/>
    <w:rsid w:val="00A65F6A"/>
    <w:rsid w:val="00A66908"/>
    <w:rsid w:val="00A66BAE"/>
    <w:rsid w:val="00A73F0A"/>
    <w:rsid w:val="00A804E9"/>
    <w:rsid w:val="00A83135"/>
    <w:rsid w:val="00A8477C"/>
    <w:rsid w:val="00A8717C"/>
    <w:rsid w:val="00A872F9"/>
    <w:rsid w:val="00A8773B"/>
    <w:rsid w:val="00A87931"/>
    <w:rsid w:val="00A92086"/>
    <w:rsid w:val="00A92B83"/>
    <w:rsid w:val="00A948A8"/>
    <w:rsid w:val="00AA178E"/>
    <w:rsid w:val="00AA1A38"/>
    <w:rsid w:val="00AC2AB1"/>
    <w:rsid w:val="00AD14C8"/>
    <w:rsid w:val="00AD553B"/>
    <w:rsid w:val="00AD5C34"/>
    <w:rsid w:val="00AD7DD9"/>
    <w:rsid w:val="00AE0046"/>
    <w:rsid w:val="00AE235E"/>
    <w:rsid w:val="00AE24BC"/>
    <w:rsid w:val="00AE4086"/>
    <w:rsid w:val="00AE766A"/>
    <w:rsid w:val="00AF0C5A"/>
    <w:rsid w:val="00AF4D8A"/>
    <w:rsid w:val="00AF670A"/>
    <w:rsid w:val="00AF7B7B"/>
    <w:rsid w:val="00B033FC"/>
    <w:rsid w:val="00B15478"/>
    <w:rsid w:val="00B16009"/>
    <w:rsid w:val="00B16BBC"/>
    <w:rsid w:val="00B2189F"/>
    <w:rsid w:val="00B2483A"/>
    <w:rsid w:val="00B256CD"/>
    <w:rsid w:val="00B2699C"/>
    <w:rsid w:val="00B325DD"/>
    <w:rsid w:val="00B32772"/>
    <w:rsid w:val="00B33651"/>
    <w:rsid w:val="00B33ABB"/>
    <w:rsid w:val="00B33C18"/>
    <w:rsid w:val="00B3694D"/>
    <w:rsid w:val="00B37709"/>
    <w:rsid w:val="00B42400"/>
    <w:rsid w:val="00B42440"/>
    <w:rsid w:val="00B50283"/>
    <w:rsid w:val="00B53AA1"/>
    <w:rsid w:val="00B553CA"/>
    <w:rsid w:val="00B55738"/>
    <w:rsid w:val="00B619AA"/>
    <w:rsid w:val="00B61E76"/>
    <w:rsid w:val="00B629A5"/>
    <w:rsid w:val="00B64E76"/>
    <w:rsid w:val="00B665F6"/>
    <w:rsid w:val="00B71C51"/>
    <w:rsid w:val="00B71CC5"/>
    <w:rsid w:val="00B71CE9"/>
    <w:rsid w:val="00B729AD"/>
    <w:rsid w:val="00B75DD3"/>
    <w:rsid w:val="00B80D40"/>
    <w:rsid w:val="00B86493"/>
    <w:rsid w:val="00B871B9"/>
    <w:rsid w:val="00B93AF3"/>
    <w:rsid w:val="00B96826"/>
    <w:rsid w:val="00BA4240"/>
    <w:rsid w:val="00BA4609"/>
    <w:rsid w:val="00BA5948"/>
    <w:rsid w:val="00BA66F5"/>
    <w:rsid w:val="00BB44A3"/>
    <w:rsid w:val="00BB4D53"/>
    <w:rsid w:val="00BB55A7"/>
    <w:rsid w:val="00BB61D0"/>
    <w:rsid w:val="00BD4BCD"/>
    <w:rsid w:val="00BD5AD6"/>
    <w:rsid w:val="00BE0112"/>
    <w:rsid w:val="00BE10E8"/>
    <w:rsid w:val="00BE1344"/>
    <w:rsid w:val="00BE466B"/>
    <w:rsid w:val="00BE5338"/>
    <w:rsid w:val="00BE683E"/>
    <w:rsid w:val="00BE73B7"/>
    <w:rsid w:val="00BF1389"/>
    <w:rsid w:val="00BF2F9E"/>
    <w:rsid w:val="00BF354A"/>
    <w:rsid w:val="00C0337C"/>
    <w:rsid w:val="00C03B31"/>
    <w:rsid w:val="00C059CB"/>
    <w:rsid w:val="00C11CAC"/>
    <w:rsid w:val="00C123DF"/>
    <w:rsid w:val="00C170E7"/>
    <w:rsid w:val="00C1747A"/>
    <w:rsid w:val="00C17FE1"/>
    <w:rsid w:val="00C21E9D"/>
    <w:rsid w:val="00C22E40"/>
    <w:rsid w:val="00C23146"/>
    <w:rsid w:val="00C2419A"/>
    <w:rsid w:val="00C24699"/>
    <w:rsid w:val="00C3090E"/>
    <w:rsid w:val="00C33C61"/>
    <w:rsid w:val="00C3564A"/>
    <w:rsid w:val="00C37002"/>
    <w:rsid w:val="00C40CE4"/>
    <w:rsid w:val="00C4281A"/>
    <w:rsid w:val="00C4363D"/>
    <w:rsid w:val="00C45AC8"/>
    <w:rsid w:val="00C46B8D"/>
    <w:rsid w:val="00C515A6"/>
    <w:rsid w:val="00C515A9"/>
    <w:rsid w:val="00C53840"/>
    <w:rsid w:val="00C55EF5"/>
    <w:rsid w:val="00C613CA"/>
    <w:rsid w:val="00C626FA"/>
    <w:rsid w:val="00C63539"/>
    <w:rsid w:val="00C63844"/>
    <w:rsid w:val="00C63E57"/>
    <w:rsid w:val="00C64D0F"/>
    <w:rsid w:val="00C67E12"/>
    <w:rsid w:val="00C67FAA"/>
    <w:rsid w:val="00C70843"/>
    <w:rsid w:val="00C73DA0"/>
    <w:rsid w:val="00C77D8D"/>
    <w:rsid w:val="00C82273"/>
    <w:rsid w:val="00C83ED8"/>
    <w:rsid w:val="00C842A4"/>
    <w:rsid w:val="00C847FC"/>
    <w:rsid w:val="00C86CDD"/>
    <w:rsid w:val="00C95173"/>
    <w:rsid w:val="00C96A6E"/>
    <w:rsid w:val="00CA394B"/>
    <w:rsid w:val="00CB2D43"/>
    <w:rsid w:val="00CB368B"/>
    <w:rsid w:val="00CC1A53"/>
    <w:rsid w:val="00CC2DFD"/>
    <w:rsid w:val="00CC3F9D"/>
    <w:rsid w:val="00CC587B"/>
    <w:rsid w:val="00CD04EE"/>
    <w:rsid w:val="00CD293B"/>
    <w:rsid w:val="00CD3B95"/>
    <w:rsid w:val="00CD4D3D"/>
    <w:rsid w:val="00CD567E"/>
    <w:rsid w:val="00CD78C9"/>
    <w:rsid w:val="00CE25B1"/>
    <w:rsid w:val="00CE6369"/>
    <w:rsid w:val="00CE788C"/>
    <w:rsid w:val="00CF06B7"/>
    <w:rsid w:val="00CF5EF3"/>
    <w:rsid w:val="00CF7A64"/>
    <w:rsid w:val="00D01224"/>
    <w:rsid w:val="00D01228"/>
    <w:rsid w:val="00D0413D"/>
    <w:rsid w:val="00D140AF"/>
    <w:rsid w:val="00D1794D"/>
    <w:rsid w:val="00D20627"/>
    <w:rsid w:val="00D2131A"/>
    <w:rsid w:val="00D2389E"/>
    <w:rsid w:val="00D24B60"/>
    <w:rsid w:val="00D3138F"/>
    <w:rsid w:val="00D325B2"/>
    <w:rsid w:val="00D337C5"/>
    <w:rsid w:val="00D346D0"/>
    <w:rsid w:val="00D35F4D"/>
    <w:rsid w:val="00D404BE"/>
    <w:rsid w:val="00D4051E"/>
    <w:rsid w:val="00D4161B"/>
    <w:rsid w:val="00D42A0D"/>
    <w:rsid w:val="00D42B2A"/>
    <w:rsid w:val="00D42FA8"/>
    <w:rsid w:val="00D43C3F"/>
    <w:rsid w:val="00D43F11"/>
    <w:rsid w:val="00D45804"/>
    <w:rsid w:val="00D4660D"/>
    <w:rsid w:val="00D479DC"/>
    <w:rsid w:val="00D51CD2"/>
    <w:rsid w:val="00D5234C"/>
    <w:rsid w:val="00D539A7"/>
    <w:rsid w:val="00D63404"/>
    <w:rsid w:val="00D650B2"/>
    <w:rsid w:val="00D7271C"/>
    <w:rsid w:val="00D743B8"/>
    <w:rsid w:val="00D750A1"/>
    <w:rsid w:val="00D815CF"/>
    <w:rsid w:val="00D8173B"/>
    <w:rsid w:val="00D84484"/>
    <w:rsid w:val="00D84788"/>
    <w:rsid w:val="00D84DD9"/>
    <w:rsid w:val="00D863F3"/>
    <w:rsid w:val="00D866B7"/>
    <w:rsid w:val="00D86A0A"/>
    <w:rsid w:val="00D91B38"/>
    <w:rsid w:val="00D92657"/>
    <w:rsid w:val="00D93CDA"/>
    <w:rsid w:val="00DA27DA"/>
    <w:rsid w:val="00DA646C"/>
    <w:rsid w:val="00DB0985"/>
    <w:rsid w:val="00DB2551"/>
    <w:rsid w:val="00DB52AF"/>
    <w:rsid w:val="00DC504F"/>
    <w:rsid w:val="00DD2753"/>
    <w:rsid w:val="00DD2F5C"/>
    <w:rsid w:val="00DD33BD"/>
    <w:rsid w:val="00DD363D"/>
    <w:rsid w:val="00DD634B"/>
    <w:rsid w:val="00DD704E"/>
    <w:rsid w:val="00DD7602"/>
    <w:rsid w:val="00DE099C"/>
    <w:rsid w:val="00DE22BB"/>
    <w:rsid w:val="00DE34D6"/>
    <w:rsid w:val="00DE38EF"/>
    <w:rsid w:val="00DE3FE2"/>
    <w:rsid w:val="00DE47B3"/>
    <w:rsid w:val="00DE615A"/>
    <w:rsid w:val="00DE6A16"/>
    <w:rsid w:val="00DF265C"/>
    <w:rsid w:val="00DF51F3"/>
    <w:rsid w:val="00DF5D7A"/>
    <w:rsid w:val="00DF6D19"/>
    <w:rsid w:val="00E0218D"/>
    <w:rsid w:val="00E02657"/>
    <w:rsid w:val="00E02F60"/>
    <w:rsid w:val="00E0538E"/>
    <w:rsid w:val="00E0653C"/>
    <w:rsid w:val="00E07A78"/>
    <w:rsid w:val="00E10A94"/>
    <w:rsid w:val="00E22DDB"/>
    <w:rsid w:val="00E23EF2"/>
    <w:rsid w:val="00E26B9D"/>
    <w:rsid w:val="00E35E36"/>
    <w:rsid w:val="00E37FCF"/>
    <w:rsid w:val="00E441DB"/>
    <w:rsid w:val="00E4589E"/>
    <w:rsid w:val="00E50637"/>
    <w:rsid w:val="00E51A29"/>
    <w:rsid w:val="00E543F1"/>
    <w:rsid w:val="00E55502"/>
    <w:rsid w:val="00E558F7"/>
    <w:rsid w:val="00E611A9"/>
    <w:rsid w:val="00E6154C"/>
    <w:rsid w:val="00E62678"/>
    <w:rsid w:val="00E63A97"/>
    <w:rsid w:val="00E67AFC"/>
    <w:rsid w:val="00E75021"/>
    <w:rsid w:val="00E77070"/>
    <w:rsid w:val="00E7727E"/>
    <w:rsid w:val="00E77597"/>
    <w:rsid w:val="00E81910"/>
    <w:rsid w:val="00E833CF"/>
    <w:rsid w:val="00E85C18"/>
    <w:rsid w:val="00E9132A"/>
    <w:rsid w:val="00E935BB"/>
    <w:rsid w:val="00E97173"/>
    <w:rsid w:val="00EA1CAE"/>
    <w:rsid w:val="00EA2A75"/>
    <w:rsid w:val="00EA2D57"/>
    <w:rsid w:val="00EA4314"/>
    <w:rsid w:val="00EB7225"/>
    <w:rsid w:val="00EC0AF9"/>
    <w:rsid w:val="00EC2089"/>
    <w:rsid w:val="00EC39BB"/>
    <w:rsid w:val="00EC60BB"/>
    <w:rsid w:val="00EC61CF"/>
    <w:rsid w:val="00ED113E"/>
    <w:rsid w:val="00ED13CA"/>
    <w:rsid w:val="00ED6FB4"/>
    <w:rsid w:val="00EE3A00"/>
    <w:rsid w:val="00EE4770"/>
    <w:rsid w:val="00EF0996"/>
    <w:rsid w:val="00EF2A1C"/>
    <w:rsid w:val="00EF2FF3"/>
    <w:rsid w:val="00EF48BF"/>
    <w:rsid w:val="00EF4A31"/>
    <w:rsid w:val="00EF5632"/>
    <w:rsid w:val="00EF7D47"/>
    <w:rsid w:val="00F02E73"/>
    <w:rsid w:val="00F05686"/>
    <w:rsid w:val="00F072DA"/>
    <w:rsid w:val="00F11ED9"/>
    <w:rsid w:val="00F1473A"/>
    <w:rsid w:val="00F163C7"/>
    <w:rsid w:val="00F2068A"/>
    <w:rsid w:val="00F24118"/>
    <w:rsid w:val="00F2763B"/>
    <w:rsid w:val="00F27FAF"/>
    <w:rsid w:val="00F317E8"/>
    <w:rsid w:val="00F33A68"/>
    <w:rsid w:val="00F34BDC"/>
    <w:rsid w:val="00F4313F"/>
    <w:rsid w:val="00F43E58"/>
    <w:rsid w:val="00F47B55"/>
    <w:rsid w:val="00F53BE9"/>
    <w:rsid w:val="00F605E6"/>
    <w:rsid w:val="00F61E9E"/>
    <w:rsid w:val="00F61F12"/>
    <w:rsid w:val="00F63511"/>
    <w:rsid w:val="00F63A1F"/>
    <w:rsid w:val="00F6591E"/>
    <w:rsid w:val="00F67F8D"/>
    <w:rsid w:val="00F74540"/>
    <w:rsid w:val="00F8172A"/>
    <w:rsid w:val="00F82FBB"/>
    <w:rsid w:val="00F844DB"/>
    <w:rsid w:val="00F87C6B"/>
    <w:rsid w:val="00F9091B"/>
    <w:rsid w:val="00F9182D"/>
    <w:rsid w:val="00F93910"/>
    <w:rsid w:val="00FA04C3"/>
    <w:rsid w:val="00FA584D"/>
    <w:rsid w:val="00FA5D0F"/>
    <w:rsid w:val="00FA725F"/>
    <w:rsid w:val="00FB3565"/>
    <w:rsid w:val="00FC1B3D"/>
    <w:rsid w:val="00FC3A4D"/>
    <w:rsid w:val="00FC40FA"/>
    <w:rsid w:val="00FC7A0F"/>
    <w:rsid w:val="00FD044B"/>
    <w:rsid w:val="00FD1E56"/>
    <w:rsid w:val="00FD415B"/>
    <w:rsid w:val="00FD43F5"/>
    <w:rsid w:val="00FD4AB3"/>
    <w:rsid w:val="00FD66D7"/>
    <w:rsid w:val="00FE1E26"/>
    <w:rsid w:val="00FE520F"/>
    <w:rsid w:val="00FF0D8B"/>
    <w:rsid w:val="00FF30F1"/>
    <w:rsid w:val="00FF3B98"/>
    <w:rsid w:val="02746439"/>
    <w:rsid w:val="09EA794C"/>
    <w:rsid w:val="0AB57D88"/>
    <w:rsid w:val="0B045678"/>
    <w:rsid w:val="0DFD2923"/>
    <w:rsid w:val="13DD0B29"/>
    <w:rsid w:val="14640EF9"/>
    <w:rsid w:val="14C437A5"/>
    <w:rsid w:val="1FAE442B"/>
    <w:rsid w:val="1FCD0CB1"/>
    <w:rsid w:val="20424D09"/>
    <w:rsid w:val="204F578B"/>
    <w:rsid w:val="239E1921"/>
    <w:rsid w:val="23AC4E86"/>
    <w:rsid w:val="28A91869"/>
    <w:rsid w:val="29AB024D"/>
    <w:rsid w:val="2BFF7E10"/>
    <w:rsid w:val="2C3B094D"/>
    <w:rsid w:val="2C636E57"/>
    <w:rsid w:val="2EA026D1"/>
    <w:rsid w:val="2ECF507E"/>
    <w:rsid w:val="2F3D7BE2"/>
    <w:rsid w:val="322A3A44"/>
    <w:rsid w:val="34C46AA4"/>
    <w:rsid w:val="35854761"/>
    <w:rsid w:val="38257154"/>
    <w:rsid w:val="39CB2128"/>
    <w:rsid w:val="39DC5C7B"/>
    <w:rsid w:val="3A0A0046"/>
    <w:rsid w:val="3A9E6E0E"/>
    <w:rsid w:val="3E101472"/>
    <w:rsid w:val="3EAE5891"/>
    <w:rsid w:val="41015A5F"/>
    <w:rsid w:val="41AF64F6"/>
    <w:rsid w:val="443921AD"/>
    <w:rsid w:val="46E856DE"/>
    <w:rsid w:val="47832D71"/>
    <w:rsid w:val="4CFD205A"/>
    <w:rsid w:val="4D197203"/>
    <w:rsid w:val="50E863A7"/>
    <w:rsid w:val="52F9537E"/>
    <w:rsid w:val="530024C8"/>
    <w:rsid w:val="548A26CC"/>
    <w:rsid w:val="5B3E23C8"/>
    <w:rsid w:val="5C5F28C8"/>
    <w:rsid w:val="5F4332A1"/>
    <w:rsid w:val="62306116"/>
    <w:rsid w:val="63546F85"/>
    <w:rsid w:val="64B66851"/>
    <w:rsid w:val="661758C9"/>
    <w:rsid w:val="685F1611"/>
    <w:rsid w:val="68696998"/>
    <w:rsid w:val="6A7F52E4"/>
    <w:rsid w:val="6DFD0A03"/>
    <w:rsid w:val="6FDE6053"/>
    <w:rsid w:val="72CA19B3"/>
    <w:rsid w:val="76631521"/>
    <w:rsid w:val="77FD79A5"/>
    <w:rsid w:val="798462CF"/>
    <w:rsid w:val="7A6A5BA7"/>
    <w:rsid w:val="7AD252B6"/>
    <w:rsid w:val="7D2C1D08"/>
    <w:rsid w:val="7E183ECE"/>
    <w:rsid w:val="7E760CDB"/>
    <w:rsid w:val="7F3246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91B607F"/>
  <w15:docId w15:val="{B9520412-59A1-448E-920A-4A755B6D0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9"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qFormat="1"/>
    <w:lsdException w:name="Body Text Indent 2" w:semiHidden="1" w:uiPriority="0" w:qFormat="1"/>
    <w:lsdException w:name="Body Text Indent 3" w:semiHidden="1" w:uiPriority="0" w:qFormat="1"/>
    <w:lsdException w:name="Block Text" w:semiHidden="1" w:uiPriority="0"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ËÎÌå" w:eastAsia="ËÎÌå"/>
      <w:sz w:val="18"/>
    </w:rPr>
  </w:style>
  <w:style w:type="paragraph" w:styleId="Heading3">
    <w:name w:val="heading 3"/>
    <w:basedOn w:val="Normal"/>
    <w:next w:val="NormalIndent"/>
    <w:link w:val="Heading3Char"/>
    <w:qFormat/>
    <w:pPr>
      <w:keepNext/>
      <w:shd w:val="clear" w:color="auto" w:fill="000000"/>
      <w:spacing w:line="160" w:lineRule="atLeast"/>
      <w:jc w:val="center"/>
      <w:outlineLvl w:val="2"/>
    </w:pPr>
    <w:rPr>
      <w:rFonts w:ascii="Times New Roman" w:eastAsia="Times New Roman"/>
      <w:b/>
      <w:color w:val="FFFFFF"/>
      <w:sz w:val="12"/>
      <w:lang w:val="zh-CN"/>
    </w:rPr>
  </w:style>
  <w:style w:type="paragraph" w:styleId="Heading4">
    <w:name w:val="heading 4"/>
    <w:basedOn w:val="Normal"/>
    <w:next w:val="Normal"/>
    <w:link w:val="Heading4Char"/>
    <w:qFormat/>
    <w:pPr>
      <w:keepNext/>
      <w:spacing w:line="160" w:lineRule="atLeast"/>
      <w:outlineLvl w:val="3"/>
    </w:pPr>
    <w:rPr>
      <w:rFonts w:ascii="Times New Roman" w:eastAsia="SimSun"/>
      <w:b/>
      <w:lang w:val="zh-CN" w:eastAsia="en-US"/>
    </w:rPr>
  </w:style>
  <w:style w:type="paragraph" w:styleId="Heading5">
    <w:name w:val="heading 5"/>
    <w:basedOn w:val="Normal"/>
    <w:next w:val="Normal"/>
    <w:link w:val="Heading5Char"/>
    <w:qFormat/>
    <w:pPr>
      <w:keepNext/>
      <w:widowControl/>
      <w:spacing w:line="160" w:lineRule="atLeast"/>
      <w:jc w:val="center"/>
      <w:outlineLvl w:val="4"/>
    </w:pPr>
    <w:rPr>
      <w:rFonts w:ascii="Times New Roman"/>
      <w:b/>
      <w:sz w:val="20"/>
      <w:lang w:val="zh-CN"/>
    </w:rPr>
  </w:style>
  <w:style w:type="paragraph" w:styleId="Heading6">
    <w:name w:val="heading 6"/>
    <w:basedOn w:val="Normal"/>
    <w:next w:val="NormalIndent"/>
    <w:link w:val="Heading6Char"/>
    <w:qFormat/>
    <w:pPr>
      <w:keepNext/>
      <w:tabs>
        <w:tab w:val="left" w:pos="0"/>
      </w:tabs>
      <w:spacing w:line="160" w:lineRule="atLeast"/>
      <w:outlineLvl w:val="5"/>
    </w:pPr>
    <w:rPr>
      <w:rFonts w:ascii="Times New Roman"/>
      <w:b/>
      <w:color w:val="0000FF"/>
      <w:sz w:val="48"/>
      <w:lang w:val="zh-CN"/>
    </w:rPr>
  </w:style>
  <w:style w:type="paragraph" w:styleId="Heading7">
    <w:name w:val="heading 7"/>
    <w:basedOn w:val="Normal"/>
    <w:next w:val="Normal"/>
    <w:link w:val="Heading7Char"/>
    <w:uiPriority w:val="9"/>
    <w:qFormat/>
    <w:pPr>
      <w:keepNext/>
      <w:keepLines/>
      <w:spacing w:before="240" w:after="64" w:line="320" w:lineRule="atLeast"/>
      <w:outlineLvl w:val="6"/>
    </w:pPr>
    <w:rPr>
      <w:b/>
      <w:bCs/>
      <w:sz w:val="24"/>
      <w:szCs w:val="24"/>
      <w:lang w:val="zh-CN"/>
    </w:rPr>
  </w:style>
  <w:style w:type="paragraph" w:styleId="Heading8">
    <w:name w:val="heading 8"/>
    <w:basedOn w:val="Normal"/>
    <w:next w:val="NormalIndent"/>
    <w:link w:val="Heading8Char"/>
    <w:qFormat/>
    <w:pPr>
      <w:keepNext/>
      <w:widowControl/>
      <w:jc w:val="center"/>
      <w:outlineLvl w:val="7"/>
    </w:pPr>
    <w:rPr>
      <w:rFonts w:ascii="Times New Roman" w:eastAsia="SimSun"/>
      <w:sz w:val="30"/>
      <w:lang w:val="zh-CN"/>
    </w:rPr>
  </w:style>
  <w:style w:type="paragraph" w:styleId="Heading9">
    <w:name w:val="heading 9"/>
    <w:basedOn w:val="Normal"/>
    <w:next w:val="NormalIndent"/>
    <w:link w:val="Heading9Char"/>
    <w:qFormat/>
    <w:pPr>
      <w:keepNext/>
      <w:spacing w:line="160" w:lineRule="atLeast"/>
      <w:jc w:val="center"/>
      <w:outlineLvl w:val="8"/>
    </w:pPr>
    <w:rPr>
      <w:rFonts w:ascii="Times New Roman" w:eastAsia="??¨¬?"/>
      <w:b/>
      <w:color w:val="0000FF"/>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9"/>
    <w:qFormat/>
    <w:pPr>
      <w:ind w:firstLine="420"/>
    </w:pPr>
  </w:style>
  <w:style w:type="paragraph" w:styleId="Caption">
    <w:name w:val="caption"/>
    <w:basedOn w:val="Normal"/>
    <w:next w:val="Normal"/>
    <w:qFormat/>
    <w:pPr>
      <w:spacing w:before="120" w:after="120"/>
      <w:jc w:val="center"/>
    </w:pPr>
    <w:rPr>
      <w:rFonts w:ascii="Times New Roman" w:eastAsia="SimSun"/>
      <w:b/>
      <w:kern w:val="2"/>
      <w:sz w:val="24"/>
    </w:rPr>
  </w:style>
  <w:style w:type="paragraph" w:styleId="CommentText">
    <w:name w:val="annotation text"/>
    <w:basedOn w:val="Normal"/>
    <w:link w:val="CommentTextChar"/>
    <w:uiPriority w:val="99"/>
    <w:unhideWhenUsed/>
    <w:qFormat/>
    <w:pPr>
      <w:jc w:val="left"/>
    </w:pPr>
    <w:rPr>
      <w:lang w:val="zh-CN"/>
    </w:rPr>
  </w:style>
  <w:style w:type="paragraph" w:styleId="BodyText3">
    <w:name w:val="Body Text 3"/>
    <w:basedOn w:val="Normal"/>
    <w:link w:val="BodyText3Char"/>
    <w:qFormat/>
    <w:pPr>
      <w:spacing w:after="120"/>
    </w:pPr>
    <w:rPr>
      <w:rFonts w:ascii="Times New Roman"/>
      <w:color w:val="0000FF"/>
      <w:lang w:val="zh-CN"/>
    </w:rPr>
  </w:style>
  <w:style w:type="paragraph" w:styleId="BodyText">
    <w:name w:val="Body Text"/>
    <w:basedOn w:val="Normal"/>
    <w:link w:val="BodyTextChar"/>
    <w:qFormat/>
    <w:pPr>
      <w:spacing w:line="160" w:lineRule="atLeast"/>
    </w:pPr>
    <w:rPr>
      <w:rFonts w:ascii="Times New Roman"/>
      <w:b/>
      <w:lang w:val="zh-CN"/>
    </w:rPr>
  </w:style>
  <w:style w:type="paragraph" w:styleId="BlockText">
    <w:name w:val="Block Text"/>
    <w:basedOn w:val="Normal"/>
    <w:qFormat/>
    <w:pPr>
      <w:tabs>
        <w:tab w:val="left" w:pos="360"/>
      </w:tabs>
      <w:spacing w:line="160" w:lineRule="atLeast"/>
      <w:ind w:left="90" w:right="-56"/>
    </w:pPr>
    <w:rPr>
      <w:rFonts w:ascii="Times New Roman" w:eastAsia="??¨¬?"/>
      <w:color w:val="000000"/>
    </w:rPr>
  </w:style>
  <w:style w:type="paragraph" w:styleId="PlainText">
    <w:name w:val="Plain Text"/>
    <w:basedOn w:val="Normal"/>
    <w:link w:val="PlainTextChar"/>
    <w:qFormat/>
    <w:rPr>
      <w:rFonts w:ascii="SimSun" w:eastAsia="SimSun" w:hAnsi="Courier New"/>
      <w:kern w:val="2"/>
      <w:sz w:val="21"/>
      <w:szCs w:val="21"/>
      <w:lang w:val="zh-CN"/>
    </w:rPr>
  </w:style>
  <w:style w:type="paragraph" w:styleId="BodyTextIndent2">
    <w:name w:val="Body Text Indent 2"/>
    <w:basedOn w:val="Normal"/>
    <w:link w:val="BodyTextIndent2Char"/>
    <w:qFormat/>
    <w:pPr>
      <w:ind w:left="283" w:hanging="283"/>
    </w:pPr>
    <w:rPr>
      <w:rFonts w:ascii="Times New Roman"/>
      <w:color w:val="0000FF"/>
      <w:lang w:val="zh-CN"/>
    </w:rPr>
  </w:style>
  <w:style w:type="paragraph" w:styleId="BalloonText">
    <w:name w:val="Balloon Text"/>
    <w:basedOn w:val="Normal"/>
    <w:link w:val="BalloonTextChar"/>
    <w:uiPriority w:val="99"/>
    <w:unhideWhenUsed/>
    <w:qFormat/>
    <w:rPr>
      <w:szCs w:val="18"/>
      <w:lang w:val="zh-CN"/>
    </w:rPr>
  </w:style>
  <w:style w:type="paragraph" w:styleId="Footer">
    <w:name w:val="footer"/>
    <w:basedOn w:val="Normal"/>
    <w:link w:val="FooterChar"/>
    <w:uiPriority w:val="99"/>
    <w:unhideWhenUsed/>
    <w:qFormat/>
    <w:pPr>
      <w:tabs>
        <w:tab w:val="center" w:pos="4153"/>
        <w:tab w:val="right" w:pos="8306"/>
      </w:tabs>
      <w:snapToGrid w:val="0"/>
      <w:spacing w:line="240" w:lineRule="atLeast"/>
      <w:jc w:val="left"/>
    </w:pPr>
    <w:rPr>
      <w:szCs w:val="18"/>
      <w:lang w:val="zh-CN"/>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spacing w:line="240" w:lineRule="atLeast"/>
      <w:jc w:val="center"/>
    </w:pPr>
    <w:rPr>
      <w:szCs w:val="18"/>
      <w:lang w:val="zh-CN"/>
    </w:rPr>
  </w:style>
  <w:style w:type="paragraph" w:styleId="BodyTextIndent3">
    <w:name w:val="Body Text Indent 3"/>
    <w:basedOn w:val="Normal"/>
    <w:link w:val="BodyTextIndent3Char"/>
    <w:qFormat/>
    <w:pPr>
      <w:ind w:left="227" w:hanging="227"/>
    </w:pPr>
    <w:rPr>
      <w:rFonts w:ascii="Times New Roman"/>
      <w:color w:val="0000FF"/>
      <w:lang w:val="zh-CN"/>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pPr>
      <w:widowControl w:val="0"/>
      <w:spacing w:line="31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Pr>
      <w:color w:val="0000FF"/>
      <w:u w:val="single"/>
    </w:rPr>
  </w:style>
  <w:style w:type="character" w:styleId="CommentReference">
    <w:name w:val="annotation reference"/>
    <w:uiPriority w:val="99"/>
    <w:unhideWhenUsed/>
    <w:rPr>
      <w:sz w:val="21"/>
      <w:szCs w:val="21"/>
    </w:rPr>
  </w:style>
  <w:style w:type="character" w:customStyle="1" w:styleId="CommentSubjectChar">
    <w:name w:val="Comment Subject Char"/>
    <w:link w:val="CommentSubject"/>
    <w:uiPriority w:val="99"/>
    <w:semiHidden/>
    <w:qFormat/>
    <w:rPr>
      <w:rFonts w:ascii="ËÎÌå" w:eastAsia="ËÎÌå" w:hAnsi="Times New Roman"/>
      <w:b/>
      <w:bCs/>
      <w:sz w:val="18"/>
    </w:rPr>
  </w:style>
  <w:style w:type="character" w:customStyle="1" w:styleId="HeaderChar">
    <w:name w:val="Header Char"/>
    <w:link w:val="Header"/>
    <w:uiPriority w:val="99"/>
    <w:qFormat/>
    <w:rPr>
      <w:rFonts w:ascii="ËÎÌå" w:eastAsia="ËÎÌå" w:hAnsi="Times New Roman" w:cs="Times New Roman"/>
      <w:kern w:val="0"/>
      <w:sz w:val="18"/>
      <w:szCs w:val="18"/>
    </w:rPr>
  </w:style>
  <w:style w:type="character" w:customStyle="1" w:styleId="CommentTextChar">
    <w:name w:val="Comment Text Char"/>
    <w:link w:val="CommentText"/>
    <w:uiPriority w:val="99"/>
    <w:semiHidden/>
    <w:rPr>
      <w:rFonts w:ascii="ËÎÌå" w:eastAsia="ËÎÌå" w:hAnsi="Times New Roman"/>
      <w:sz w:val="18"/>
    </w:rPr>
  </w:style>
  <w:style w:type="character" w:customStyle="1" w:styleId="Heading6Char">
    <w:name w:val="Heading 6 Char"/>
    <w:link w:val="Heading6"/>
    <w:rPr>
      <w:rFonts w:ascii="Times New Roman" w:eastAsia="ËÎÌå" w:hAnsi="Times New Roman" w:cs="Times New Roman"/>
      <w:b/>
      <w:color w:val="0000FF"/>
      <w:kern w:val="0"/>
      <w:sz w:val="48"/>
      <w:szCs w:val="20"/>
    </w:rPr>
  </w:style>
  <w:style w:type="character" w:customStyle="1" w:styleId="Heading4Char">
    <w:name w:val="Heading 4 Char"/>
    <w:link w:val="Heading4"/>
    <w:rPr>
      <w:rFonts w:ascii="Times New Roman" w:eastAsia="SimSun" w:hAnsi="Times New Roman" w:cs="Times New Roman"/>
      <w:b/>
      <w:kern w:val="0"/>
      <w:sz w:val="18"/>
      <w:szCs w:val="20"/>
      <w:lang w:eastAsia="en-US"/>
    </w:rPr>
  </w:style>
  <w:style w:type="character" w:customStyle="1" w:styleId="Heading5Char">
    <w:name w:val="Heading 5 Char"/>
    <w:link w:val="Heading5"/>
    <w:rPr>
      <w:rFonts w:ascii="Times New Roman" w:eastAsia="ËÎÌå" w:hAnsi="Times New Roman" w:cs="Times New Roman"/>
      <w:b/>
      <w:kern w:val="0"/>
      <w:sz w:val="20"/>
      <w:szCs w:val="20"/>
    </w:rPr>
  </w:style>
  <w:style w:type="character" w:customStyle="1" w:styleId="BodyText3Char">
    <w:name w:val="Body Text 3 Char"/>
    <w:link w:val="BodyText3"/>
    <w:qFormat/>
    <w:rPr>
      <w:rFonts w:ascii="Times New Roman" w:eastAsia="ËÎÌå" w:hAnsi="Times New Roman" w:cs="Times New Roman"/>
      <w:color w:val="0000FF"/>
      <w:kern w:val="0"/>
      <w:sz w:val="18"/>
      <w:szCs w:val="20"/>
    </w:rPr>
  </w:style>
  <w:style w:type="character" w:customStyle="1" w:styleId="BodyTextIndent2Char">
    <w:name w:val="Body Text Indent 2 Char"/>
    <w:link w:val="BodyTextIndent2"/>
    <w:qFormat/>
    <w:rPr>
      <w:rFonts w:ascii="Times New Roman" w:eastAsia="ËÎÌå" w:hAnsi="Times New Roman" w:cs="Times New Roman"/>
      <w:color w:val="0000FF"/>
      <w:kern w:val="0"/>
      <w:sz w:val="18"/>
      <w:szCs w:val="20"/>
    </w:rPr>
  </w:style>
  <w:style w:type="character" w:customStyle="1" w:styleId="BodyTextChar">
    <w:name w:val="Body Text Char"/>
    <w:link w:val="BodyText"/>
    <w:qFormat/>
    <w:rPr>
      <w:rFonts w:ascii="Times New Roman" w:eastAsia="ËÎÌå" w:hAnsi="Times New Roman" w:cs="Times New Roman"/>
      <w:b/>
      <w:kern w:val="0"/>
      <w:sz w:val="18"/>
      <w:szCs w:val="20"/>
    </w:rPr>
  </w:style>
  <w:style w:type="character" w:customStyle="1" w:styleId="Heading3Char">
    <w:name w:val="Heading 3 Char"/>
    <w:link w:val="Heading3"/>
    <w:rPr>
      <w:rFonts w:ascii="Times New Roman" w:eastAsia="Times New Roman" w:hAnsi="Times New Roman" w:cs="Times New Roman"/>
      <w:b/>
      <w:color w:val="FFFFFF"/>
      <w:kern w:val="0"/>
      <w:sz w:val="12"/>
      <w:szCs w:val="20"/>
      <w:shd w:val="clear" w:color="auto" w:fill="000000"/>
    </w:rPr>
  </w:style>
  <w:style w:type="character" w:customStyle="1" w:styleId="FooterChar">
    <w:name w:val="Footer Char"/>
    <w:link w:val="Footer"/>
    <w:uiPriority w:val="99"/>
    <w:qFormat/>
    <w:rPr>
      <w:rFonts w:ascii="ËÎÌå" w:eastAsia="ËÎÌå" w:hAnsi="Times New Roman" w:cs="Times New Roman"/>
      <w:kern w:val="0"/>
      <w:sz w:val="18"/>
      <w:szCs w:val="18"/>
    </w:rPr>
  </w:style>
  <w:style w:type="character" w:customStyle="1" w:styleId="BalloonTextChar">
    <w:name w:val="Balloon Text Char"/>
    <w:link w:val="BalloonText"/>
    <w:uiPriority w:val="99"/>
    <w:semiHidden/>
    <w:qFormat/>
    <w:rPr>
      <w:rFonts w:ascii="ËÎÌå" w:eastAsia="ËÎÌå" w:hAnsi="Times New Roman" w:cs="Times New Roman"/>
      <w:kern w:val="0"/>
      <w:sz w:val="18"/>
      <w:szCs w:val="18"/>
    </w:rPr>
  </w:style>
  <w:style w:type="character" w:customStyle="1" w:styleId="Heading9Char">
    <w:name w:val="Heading 9 Char"/>
    <w:link w:val="Heading9"/>
    <w:qFormat/>
    <w:rPr>
      <w:rFonts w:ascii="Times New Roman" w:eastAsia="??¨¬?" w:hAnsi="Times New Roman" w:cs="Times New Roman"/>
      <w:b/>
      <w:color w:val="0000FF"/>
      <w:kern w:val="0"/>
      <w:sz w:val="18"/>
      <w:szCs w:val="20"/>
    </w:rPr>
  </w:style>
  <w:style w:type="character" w:customStyle="1" w:styleId="Heading8Char">
    <w:name w:val="Heading 8 Char"/>
    <w:link w:val="Heading8"/>
    <w:qFormat/>
    <w:rPr>
      <w:rFonts w:ascii="Times New Roman" w:eastAsia="SimSun" w:hAnsi="Times New Roman" w:cs="Times New Roman"/>
      <w:kern w:val="0"/>
      <w:sz w:val="30"/>
      <w:szCs w:val="20"/>
    </w:rPr>
  </w:style>
  <w:style w:type="character" w:customStyle="1" w:styleId="Heading7Char">
    <w:name w:val="Heading 7 Char"/>
    <w:link w:val="Heading7"/>
    <w:uiPriority w:val="9"/>
    <w:semiHidden/>
    <w:qFormat/>
    <w:rPr>
      <w:rFonts w:ascii="ËÎÌå" w:eastAsia="ËÎÌå" w:hAnsi="Times New Roman"/>
      <w:b/>
      <w:bCs/>
      <w:sz w:val="24"/>
      <w:szCs w:val="24"/>
    </w:rPr>
  </w:style>
  <w:style w:type="character" w:customStyle="1" w:styleId="PlainTextChar">
    <w:name w:val="Plain Text Char"/>
    <w:link w:val="PlainText"/>
    <w:qFormat/>
    <w:rPr>
      <w:rFonts w:ascii="SimSun" w:hAnsi="Courier New"/>
      <w:kern w:val="2"/>
      <w:sz w:val="21"/>
      <w:szCs w:val="21"/>
    </w:rPr>
  </w:style>
  <w:style w:type="character" w:customStyle="1" w:styleId="BodyTextIndent3Char">
    <w:name w:val="Body Text Indent 3 Char"/>
    <w:link w:val="BodyTextIndent3"/>
    <w:qFormat/>
    <w:rPr>
      <w:rFonts w:ascii="Times New Roman" w:eastAsia="ËÎÌå" w:hAnsi="Times New Roman" w:cs="Times New Roman"/>
      <w:color w:val="0000FF"/>
      <w:kern w:val="0"/>
      <w:sz w:val="18"/>
      <w:szCs w:val="20"/>
    </w:rPr>
  </w:style>
  <w:style w:type="paragraph" w:customStyle="1" w:styleId="Tablehead">
    <w:name w:val="Table head"/>
    <w:basedOn w:val="Normal"/>
    <w:qFormat/>
    <w:pPr>
      <w:spacing w:after="80" w:line="180" w:lineRule="atLeast"/>
      <w:jc w:val="center"/>
    </w:pPr>
    <w:rPr>
      <w:rFonts w:ascii="Times New Roman" w:eastAsia="SimSun"/>
      <w:b/>
      <w:kern w:val="2"/>
      <w:sz w:val="20"/>
    </w:rPr>
  </w:style>
  <w:style w:type="paragraph" w:customStyle="1" w:styleId="Style1">
    <w:name w:val="Style1"/>
    <w:basedOn w:val="Normal"/>
    <w:qFormat/>
    <w:pPr>
      <w:shd w:val="clear" w:color="auto" w:fill="000000"/>
      <w:overflowPunct w:val="0"/>
      <w:autoSpaceDE w:val="0"/>
      <w:autoSpaceDN w:val="0"/>
      <w:adjustRightInd w:val="0"/>
      <w:spacing w:before="120"/>
      <w:jc w:val="center"/>
      <w:textAlignment w:val="baseline"/>
    </w:pPr>
    <w:rPr>
      <w:rFonts w:ascii="Times New Roman" w:eastAsia="SimSun"/>
      <w:b/>
      <w:sz w:val="14"/>
      <w:szCs w:val="14"/>
      <w:lang w:eastAsia="en-US"/>
    </w:rPr>
  </w:style>
  <w:style w:type="paragraph" w:styleId="ListParagraph">
    <w:name w:val="List Paragraph"/>
    <w:basedOn w:val="Normal"/>
    <w:uiPriority w:val="34"/>
    <w:qFormat/>
    <w:pPr>
      <w:ind w:firstLineChars="200" w:firstLine="420"/>
    </w:pPr>
  </w:style>
  <w:style w:type="paragraph" w:customStyle="1" w:styleId="TableCellCtr">
    <w:name w:val="Table Cell Ctr"/>
    <w:basedOn w:val="Normal"/>
    <w:qFormat/>
    <w:pPr>
      <w:spacing w:after="80" w:line="180" w:lineRule="atLeast"/>
      <w:jc w:val="center"/>
    </w:pPr>
    <w:rPr>
      <w:rFonts w:ascii="Times New Roman" w:eastAsia="SimSun"/>
      <w:kern w:val="2"/>
      <w:sz w:val="20"/>
    </w:rPr>
  </w:style>
  <w:style w:type="character" w:customStyle="1" w:styleId="fontstyle01">
    <w:name w:val="fontstyle01"/>
    <w:qFormat/>
    <w:rPr>
      <w:rFonts w:ascii="SymbolMT" w:hAnsi="SymbolMT" w:hint="default"/>
      <w:color w:val="000000"/>
      <w:sz w:val="24"/>
      <w:szCs w:val="24"/>
    </w:rPr>
  </w:style>
  <w:style w:type="character" w:customStyle="1" w:styleId="fontstyle21">
    <w:name w:val="fontstyle21"/>
    <w:rPr>
      <w:rFonts w:ascii="TimesNewRomanPSMT" w:hAnsi="TimesNewRomanPSMT" w:hint="default"/>
      <w:color w:val="000000"/>
      <w:sz w:val="24"/>
      <w:szCs w:val="24"/>
    </w:rPr>
  </w:style>
  <w:style w:type="paragraph" w:customStyle="1" w:styleId="1">
    <w:name w:val="修订1"/>
    <w:hidden/>
    <w:uiPriority w:val="99"/>
    <w:unhideWhenUsed/>
    <w:rPr>
      <w:rFonts w:ascii="ËÎÌå" w:eastAsia="ËÎÌå"/>
      <w:sz w:val="18"/>
    </w:rPr>
  </w:style>
  <w:style w:type="character" w:styleId="UnresolvedMention">
    <w:name w:val="Unresolved Mention"/>
    <w:basedOn w:val="DefaultParagraphFont"/>
    <w:uiPriority w:val="99"/>
    <w:semiHidden/>
    <w:unhideWhenUsed/>
    <w:rsid w:val="00264060"/>
    <w:rPr>
      <w:color w:val="605E5C"/>
      <w:shd w:val="clear" w:color="auto" w:fill="E1DFDD"/>
    </w:rPr>
  </w:style>
  <w:style w:type="paragraph" w:styleId="NormalWeb">
    <w:name w:val="Normal (Web)"/>
    <w:basedOn w:val="Normal"/>
    <w:uiPriority w:val="99"/>
    <w:unhideWhenUsed/>
    <w:qFormat/>
    <w:rsid w:val="00ED13CA"/>
    <w:pPr>
      <w:widowControl/>
      <w:spacing w:before="100" w:beforeAutospacing="1" w:after="100" w:afterAutospacing="1"/>
      <w:jc w:val="left"/>
    </w:pPr>
    <w:rPr>
      <w:rFonts w:ascii="Times New Roman" w:eastAsia="Times New Roman"/>
      <w:sz w:val="24"/>
      <w:szCs w:val="24"/>
    </w:rPr>
  </w:style>
  <w:style w:type="character" w:styleId="FollowedHyperlink">
    <w:name w:val="FollowedHyperlink"/>
    <w:basedOn w:val="DefaultParagraphFont"/>
    <w:uiPriority w:val="99"/>
    <w:semiHidden/>
    <w:unhideWhenUsed/>
    <w:rsid w:val="00BD4B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ssurelabs.com" TargetMode="Externa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mailto:contact@direagent.com"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yperlink" Target="https://www.fda.gov/medical-devices/coronavirus-disease-2019-covid-19-emergency-use-authorizations-medical-devices/vitro-diagnostics-euas"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6A08FBD5310342BF958ADCB470BE9A" ma:contentTypeVersion="9" ma:contentTypeDescription="Create a new document." ma:contentTypeScope="" ma:versionID="f268b11e7e5866793b0ce790d966082e">
  <xsd:schema xmlns:xsd="http://www.w3.org/2001/XMLSchema" xmlns:xs="http://www.w3.org/2001/XMLSchema" xmlns:p="http://schemas.microsoft.com/office/2006/metadata/properties" xmlns:ns3="978cbee1-b604-4d95-9f89-3d25ff6383a8" targetNamespace="http://schemas.microsoft.com/office/2006/metadata/properties" ma:root="true" ma:fieldsID="731dac794cc99bab3e94f6f470ad5ada" ns3:_="">
    <xsd:import namespace="978cbee1-b604-4d95-9f89-3d25ff6383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cbee1-b604-4d95-9f89-3d25ff638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AB4A491-9722-4BCA-A533-653C86208E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9EF4D7-C0D6-48EC-A12A-360D216BC1E5}">
  <ds:schemaRefs>
    <ds:schemaRef ds:uri="http://schemas.microsoft.com/sharepoint/v3/contenttype/forms"/>
  </ds:schemaRefs>
</ds:datastoreItem>
</file>

<file path=customXml/itemProps3.xml><?xml version="1.0" encoding="utf-8"?>
<ds:datastoreItem xmlns:ds="http://schemas.openxmlformats.org/officeDocument/2006/customXml" ds:itemID="{1BD93105-C2C8-4FEB-A4BF-4194C53FF617}">
  <ds:schemaRefs>
    <ds:schemaRef ds:uri="http://schemas.openxmlformats.org/officeDocument/2006/bibliography"/>
  </ds:schemaRefs>
</ds:datastoreItem>
</file>

<file path=customXml/itemProps4.xml><?xml version="1.0" encoding="utf-8"?>
<ds:datastoreItem xmlns:ds="http://schemas.openxmlformats.org/officeDocument/2006/customXml" ds:itemID="{F36CADA0-E232-4AC8-9B49-9AEFD59D8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cbee1-b604-4d95-9f89-3d25ff638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4095</Words>
  <Characters>23346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x61</dc:creator>
  <cp:lastModifiedBy>markoni</cp:lastModifiedBy>
  <cp:revision>3</cp:revision>
  <cp:lastPrinted>2020-04-28T00:59:00Z</cp:lastPrinted>
  <dcterms:created xsi:type="dcterms:W3CDTF">2021-02-01T08:54:00Z</dcterms:created>
  <dcterms:modified xsi:type="dcterms:W3CDTF">2021-02-01T08:54:00Z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ContentTypeId">
    <vt:lpwstr>0x010100076A08FBD5310342BF958ADCB470BE9A</vt:lpwstr>
  </property>
  <property fmtid="{D5CDD505-2E9C-101B-9397-08002B2CF9AE}" pid="4" name="_dlc_DocIdItemGuid">
    <vt:lpwstr>c145491b-e847-43cd-82b6-fc32a3eda1ce</vt:lpwstr>
  </property>
</Properties>
</file>